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3.9.0.0 -->
  <w:background w:color="ffffff">
    <v:background id="_x0000_s1025" filled="t" fillcolor="white"/>
  </w:background>
  <w:body>
    <w:p>
      <w:r>
        <w:rPr>
          <w:rFonts w:ascii="Arial" w:eastAsia="Arial" w:hAnsi="Arial" w:cs="Arial"/>
          <w:b/>
          <w:sz w:val="28"/>
          <w:shd w:val="clear" w:color="auto" w:fill="FFFF00"/>
        </w:rPr>
        <w:t>P</w:t>
      </w:r>
      <w:r>
        <w:t>reparation of Polyacrylamide Gels</w:t>
      </w:r>
    </w:p>
    <w:p>
      <w:pPr>
        <w:spacing w:line="240" w:lineRule="auto"/>
      </w:pPr>
      <w:r>
        <w:t>1. Prepare 20X TBE as:</w:t>
      </w:r>
    </w:p>
    <w:p>
      <w:pPr>
        <w:spacing w:line="240" w:lineRule="auto"/>
      </w:pPr>
      <w:r>
        <w:tab/>
      </w:r>
      <w:r>
        <w:t>216 g</w:t>
      </w:r>
      <w:r>
        <w:tab/>
      </w:r>
      <w:r>
        <w:t>Tris Base</w:t>
      </w:r>
    </w:p>
    <w:p>
      <w:pPr>
        <w:spacing w:line="240" w:lineRule="auto"/>
      </w:pPr>
      <w:r>
        <w:tab/>
      </w:r>
      <w:r>
        <w:t>110 g</w:t>
      </w:r>
      <w:r>
        <w:tab/>
      </w:r>
      <w:r>
        <w:t>Boric Acid</w:t>
      </w:r>
    </w:p>
    <w:p>
      <w:pPr>
        <w:spacing w:line="240" w:lineRule="auto"/>
      </w:pPr>
      <w:r>
        <w:tab/>
      </w:r>
      <w:r>
        <w:t>80 mL</w:t>
      </w:r>
      <w:r>
        <w:tab/>
      </w:r>
      <w:r>
        <w:t xml:space="preserve">500 </w:t>
      </w:r>
      <w:r>
        <w:t>mM</w:t>
      </w:r>
      <w:r>
        <w:t xml:space="preserve"> EDTA, pH 8.0</w:t>
      </w:r>
    </w:p>
    <w:p>
      <w:pPr>
        <w:spacing w:line="240" w:lineRule="auto"/>
      </w:pPr>
      <w:r>
        <w:tab/>
      </w:r>
      <w:r>
        <w:t>700 mL</w:t>
      </w:r>
      <w:r>
        <w:tab/>
      </w:r>
      <w:r>
        <w:t>ddH2O</w:t>
      </w:r>
    </w:p>
    <w:p>
      <w:pPr>
        <w:spacing w:line="240" w:lineRule="auto"/>
      </w:pPr>
      <w:r>
        <w:tab/>
      </w:r>
      <w:r>
        <w:tab/>
      </w:r>
      <w:r>
        <w:t xml:space="preserve">Mix.  </w:t>
      </w:r>
    </w:p>
    <w:p>
      <w:pPr>
        <w:spacing w:line="240" w:lineRule="auto"/>
      </w:pPr>
      <w:r>
        <w:tab/>
      </w:r>
      <w:r>
        <w:tab/>
      </w:r>
      <w:r>
        <w:t xml:space="preserve">Bring volume to 1 L.  </w:t>
      </w:r>
    </w:p>
    <w:p>
      <w:pPr>
        <w:spacing w:after="0" w:line="240" w:lineRule="auto"/>
      </w:pPr>
      <w:r>
        <w:tab/>
      </w:r>
      <w:r>
        <w:tab/>
      </w:r>
      <w:r>
        <w:t>Autoclave.</w:t>
      </w:r>
    </w:p>
    <w:p>
      <w:pPr>
        <w:spacing w:after="0" w:line="240" w:lineRule="auto"/>
      </w:pPr>
      <w:r>
        <w:rPr>
          <w:rFonts w:ascii="Arial" w:eastAsia="Arial" w:hAnsi="Arial" w:cs="Arial"/>
        </w:rPr>
        <w:t>2. Prepare Acrylamide solution as:</w:t>
      </w:r>
    </w:p>
    <w:p>
      <w:pPr>
        <w:spacing w:after="0" w:line="240" w:lineRule="auto"/>
      </w:pPr>
      <w:r>
        <w:tab/>
      </w:r>
      <w:r>
        <w:rPr>
          <w:rFonts w:ascii="Arial" w:eastAsia="Arial" w:hAnsi="Arial" w:cs="Arial"/>
        </w:rPr>
        <w:t>6 %</w:t>
      </w:r>
      <w:r>
        <w:tab/>
      </w:r>
      <w:r>
        <w:rPr>
          <w:rFonts w:ascii="Arial" w:eastAsia="Arial" w:hAnsi="Arial" w:cs="Arial"/>
        </w:rPr>
        <w:t>Acrylamide</w:t>
      </w:r>
      <w:r>
        <w:tab/>
      </w:r>
      <w:r>
        <w:rPr>
          <w:rFonts w:ascii="Arial" w:eastAsia="Arial" w:hAnsi="Arial" w:cs="Arial"/>
        </w:rPr>
        <w:t>60.0 g</w:t>
      </w:r>
      <w:r>
        <w:tab/>
      </w:r>
      <w:r>
        <w:rPr>
          <w:rFonts w:ascii="Arial" w:eastAsia="Arial" w:hAnsi="Arial" w:cs="Arial"/>
        </w:rPr>
        <w:t>Acrylamide</w:t>
      </w:r>
    </w:p>
    <w:p>
      <w:pPr>
        <w:spacing w:after="0" w:line="240" w:lineRule="auto"/>
      </w:pPr>
      <w:r>
        <w:tab/>
      </w:r>
      <w:r>
        <w:rPr>
          <w:rFonts w:ascii="Arial" w:eastAsia="Arial" w:hAnsi="Arial" w:cs="Arial"/>
        </w:rPr>
        <w:t>0.25</w:t>
      </w:r>
      <w:r>
        <w:rPr>
          <w:rFonts w:ascii="Arial" w:eastAsia="Arial" w:hAnsi="Arial" w:cs="Arial"/>
        </w:rPr>
        <w:t xml:space="preserve"> %</w:t>
      </w:r>
      <w:r>
        <w:tab/>
      </w:r>
      <w:r>
        <w:rPr>
          <w:rFonts w:ascii="Arial" w:eastAsia="Arial" w:hAnsi="Arial" w:cs="Arial"/>
        </w:rPr>
        <w:t>Bis</w:t>
      </w:r>
      <w:r>
        <w:rPr>
          <w:rFonts w:ascii="Arial" w:eastAsia="Arial" w:hAnsi="Arial" w:cs="Arial"/>
        </w:rPr>
        <w:t>-Acrylamide</w:t>
      </w:r>
      <w:r>
        <w:tab/>
      </w:r>
      <w:r>
        <w:rPr>
          <w:rFonts w:ascii="Arial" w:eastAsia="Arial" w:hAnsi="Arial" w:cs="Arial"/>
        </w:rPr>
        <w:t>2.5 g</w:t>
      </w:r>
      <w:r>
        <w:tab/>
      </w:r>
      <w:r>
        <w:rPr>
          <w:rFonts w:ascii="Arial" w:eastAsia="Arial" w:hAnsi="Arial" w:cs="Arial"/>
        </w:rPr>
        <w:t>Bis</w:t>
      </w:r>
      <w:r>
        <w:rPr>
          <w:rFonts w:ascii="Arial" w:eastAsia="Arial" w:hAnsi="Arial" w:cs="Arial"/>
        </w:rPr>
        <w:t>-Acrylamide</w:t>
      </w:r>
    </w:p>
    <w:p>
      <w:pPr>
        <w:spacing w:after="0" w:line="240" w:lineRule="auto"/>
      </w:pPr>
      <w:r>
        <w:tab/>
      </w:r>
      <w:r>
        <w:rPr>
          <w:rFonts w:ascii="Arial" w:eastAsia="Arial" w:hAnsi="Arial" w:cs="Arial"/>
        </w:rPr>
        <w:t>8 M</w:t>
      </w:r>
      <w:r>
        <w:tab/>
      </w:r>
      <w:r>
        <w:rPr>
          <w:rFonts w:ascii="Arial" w:eastAsia="Arial" w:hAnsi="Arial" w:cs="Arial"/>
        </w:rPr>
        <w:t>Urea</w:t>
      </w:r>
      <w:r>
        <w:tab/>
      </w:r>
      <w:r>
        <w:tab/>
      </w:r>
      <w:r>
        <w:rPr>
          <w:rFonts w:ascii="Arial" w:eastAsia="Arial" w:hAnsi="Arial" w:cs="Arial"/>
        </w:rPr>
        <w:t>422.0 g</w:t>
      </w:r>
      <w:r>
        <w:tab/>
      </w:r>
      <w:r>
        <w:rPr>
          <w:rFonts w:ascii="Arial" w:eastAsia="Arial" w:hAnsi="Arial" w:cs="Arial"/>
        </w:rPr>
        <w:t>Urea</w:t>
      </w:r>
    </w:p>
    <w:p>
      <w:pPr>
        <w:spacing w:after="0" w:line="240" w:lineRule="auto"/>
      </w:pPr>
      <w:r>
        <w:tab/>
      </w:r>
      <w:r>
        <w:rPr>
          <w:rFonts w:ascii="Arial" w:eastAsia="Arial" w:hAnsi="Arial" w:cs="Arial"/>
        </w:rPr>
        <w:t>0.5 X</w:t>
      </w:r>
      <w:r>
        <w:tab/>
      </w:r>
      <w:r>
        <w:rPr>
          <w:rFonts w:ascii="Arial" w:eastAsia="Arial" w:hAnsi="Arial" w:cs="Arial"/>
        </w:rPr>
        <w:t>TBE</w:t>
      </w:r>
      <w:r>
        <w:tab/>
      </w:r>
      <w:r>
        <w:tab/>
      </w:r>
      <w:r>
        <w:rPr>
          <w:rFonts w:ascii="Arial" w:eastAsia="Arial" w:hAnsi="Arial" w:cs="Arial"/>
        </w:rPr>
        <w:t>25 mL</w:t>
      </w:r>
      <w:r>
        <w:tab/>
      </w:r>
      <w:r>
        <w:rPr>
          <w:rFonts w:ascii="Arial" w:eastAsia="Arial" w:hAnsi="Arial" w:cs="Arial"/>
        </w:rPr>
        <w:t>20X TBE</w:t>
      </w:r>
    </w:p>
    <w:p>
      <w:pPr>
        <w:spacing w:after="0" w:line="240" w:lineRule="auto"/>
      </w:pPr>
      <w:r>
        <w:tab/>
      </w:r>
      <w:r>
        <w:tab/>
      </w:r>
      <w:r>
        <w:tab/>
      </w:r>
      <w:r>
        <w:tab/>
      </w:r>
      <w:r>
        <w:rPr>
          <w:rFonts w:ascii="Arial" w:eastAsia="Arial" w:hAnsi="Arial" w:cs="Arial"/>
        </w:rPr>
        <w:t>500 mL</w:t>
      </w:r>
      <w:r>
        <w:tab/>
      </w:r>
      <w:r>
        <w:rPr>
          <w:rFonts w:ascii="Arial" w:eastAsia="Arial" w:hAnsi="Arial" w:cs="Arial"/>
        </w:rPr>
        <w:t>ddH20</w:t>
      </w:r>
    </w:p>
    <w:p>
      <w:pPr>
        <w:spacing w:after="0" w:line="240" w:lineRule="auto"/>
      </w:pPr>
      <w:r>
        <w:tab/>
      </w:r>
      <w:r>
        <w:tab/>
      </w:r>
      <w:r>
        <w:tab/>
      </w:r>
      <w:r>
        <w:tab/>
      </w:r>
      <w:r>
        <w:rPr>
          <w:rFonts w:ascii="Arial" w:eastAsia="Arial" w:hAnsi="Arial" w:cs="Arial"/>
        </w:rPr>
        <w:t xml:space="preserve">Mix. </w:t>
      </w:r>
    </w:p>
    <w:p>
      <w:pPr>
        <w:spacing w:after="0" w:line="240" w:lineRule="auto"/>
      </w:pPr>
      <w:r>
        <w:tab/>
      </w:r>
      <w:r>
        <w:tab/>
      </w:r>
      <w:r>
        <w:tab/>
      </w:r>
      <w:r>
        <w:tab/>
      </w:r>
      <w:r>
        <w:rPr>
          <w:rFonts w:ascii="Arial" w:eastAsia="Arial" w:hAnsi="Arial" w:cs="Arial"/>
        </w:rPr>
        <w:t>Bring volume to 1 L.</w:t>
      </w:r>
    </w:p>
    <w:p>
      <w:pPr>
        <w:spacing w:after="0" w:line="240" w:lineRule="auto"/>
      </w:pPr>
      <w:r>
        <w:tab/>
      </w:r>
      <w:r>
        <w:tab/>
      </w:r>
      <w:r>
        <w:tab/>
      </w:r>
      <w:r>
        <w:tab/>
      </w:r>
      <w:r>
        <w:rPr>
          <w:rFonts w:ascii="Arial" w:eastAsia="Arial" w:hAnsi="Arial" w:cs="Arial"/>
        </w:rPr>
        <w:t xml:space="preserve">Filter.  </w:t>
      </w:r>
    </w:p>
    <w:p>
      <w:pPr>
        <w:spacing w:after="0" w:line="240" w:lineRule="auto"/>
      </w:pPr>
      <w:r>
        <w:tab/>
      </w:r>
      <w:r>
        <w:tab/>
      </w:r>
      <w:r>
        <w:tab/>
      </w:r>
      <w:r>
        <w:tab/>
      </w:r>
      <w:r>
        <w:rPr>
          <w:rFonts w:ascii="Arial" w:eastAsia="Arial" w:hAnsi="Arial" w:cs="Arial"/>
        </w:rPr>
        <w:t>Store at 4° in the dark.</w:t>
      </w:r>
    </w:p>
    <w:p>
      <w:pPr>
        <w:spacing w:after="0" w:line="240" w:lineRule="auto"/>
      </w:pPr>
      <w:r>
        <w:rPr>
          <w:rFonts w:ascii="Arial" w:eastAsia="Arial" w:hAnsi="Arial" w:cs="Arial"/>
        </w:rPr>
        <w:t>3. Wash glass plates on both sides with soap. Rinse well with water. Rin</w:t>
      </w:r>
      <w:r>
        <w:rPr>
          <w:rFonts w:ascii="Arial" w:eastAsia="Arial" w:hAnsi="Arial" w:cs="Arial"/>
        </w:rPr>
        <w:t>se well with distilled water. Hold vertical and douse each side with 95% Ethanol to promote drying. Stand on edge and dry with Kim-Wipe.</w:t>
      </w:r>
      <w:r>
        <w:br/>
      </w:r>
      <w:r>
        <w:br/>
      </w:r>
      <w:r>
        <w:rPr>
          <w:rFonts w:ascii="Arial" w:eastAsia="Arial" w:hAnsi="Arial" w:cs="Arial"/>
        </w:rPr>
        <w:t>4. Lay the plates flat. Etch one side of each plate to mark it as '</w:t>
      </w:r>
      <w:r>
        <w:rPr>
          <w:rFonts w:ascii="Arial" w:eastAsia="Arial" w:hAnsi="Arial" w:cs="Arial"/>
        </w:rPr>
        <w:t>Siliconized</w:t>
      </w:r>
      <w:r>
        <w:rPr>
          <w:rFonts w:ascii="Arial" w:eastAsia="Arial" w:hAnsi="Arial" w:cs="Arial"/>
        </w:rPr>
        <w:t>.' Spread 100 mL </w:t>
      </w:r>
      <w:r>
        <w:rPr>
          <w:rFonts w:ascii="Arial" w:eastAsia="Arial" w:hAnsi="Arial" w:cs="Arial"/>
        </w:rPr>
        <w:t>Sigmacote</w:t>
      </w:r>
      <w:r>
        <w:rPr>
          <w:rFonts w:ascii="Arial" w:eastAsia="Arial" w:hAnsi="Arial" w:cs="Arial"/>
        </w:rPr>
        <w:t> solution on e</w:t>
      </w:r>
      <w:r>
        <w:rPr>
          <w:rFonts w:ascii="Arial" w:eastAsia="Arial" w:hAnsi="Arial" w:cs="Arial"/>
        </w:rPr>
        <w:t>ach plate and distribute with a small Kim-Wipe. </w:t>
      </w:r>
      <w:r>
        <w:br/>
      </w:r>
      <w:r>
        <w:br/>
      </w:r>
      <w:r>
        <w:rPr>
          <w:rFonts w:ascii="Arial" w:eastAsia="Arial" w:hAnsi="Arial" w:cs="Arial"/>
        </w:rPr>
        <w:t>5. Allow to dry for 2 min. Place spacers on long plate. Place short plate on top with a 2 mm gap provided at the bottom. Clamp the bottom 2/3 with 3 bulldog clamps.</w:t>
      </w:r>
      <w:r>
        <w:br/>
      </w:r>
      <w:r>
        <w:br/>
      </w:r>
      <w:r>
        <w:rPr>
          <w:rFonts w:ascii="Arial" w:eastAsia="Arial" w:hAnsi="Arial" w:cs="Arial"/>
        </w:rPr>
        <w:t xml:space="preserve">6. Prop up the top edge of the plates </w:t>
      </w:r>
      <w:r>
        <w:rPr>
          <w:rFonts w:ascii="Arial" w:eastAsia="Arial" w:hAnsi="Arial" w:cs="Arial"/>
        </w:rPr>
        <w:t>with a 25 mL pipet to provide a shallow slope from top to bottom.</w:t>
      </w:r>
      <w:r>
        <w:br/>
      </w:r>
      <w:r>
        <w:br/>
      </w:r>
      <w:r>
        <w:rPr>
          <w:rFonts w:ascii="Arial" w:eastAsia="Arial" w:hAnsi="Arial" w:cs="Arial"/>
        </w:rPr>
        <w:t>7. Mix the appropriate amount of acrylamide solution in a 60 mL syringe. As a guide:</w:t>
      </w:r>
    </w:p>
    <w:p>
      <w:pPr>
        <w:spacing w:after="0" w:line="240" w:lineRule="auto"/>
      </w:pPr>
      <w:r>
        <w:tab/>
      </w:r>
      <w:r>
        <w:rPr>
          <w:rFonts w:ascii="Arial" w:eastAsia="Arial" w:hAnsi="Arial" w:cs="Arial"/>
        </w:rPr>
        <w:t>100 mL</w:t>
      </w:r>
      <w:r>
        <w:tab/>
      </w:r>
      <w:r>
        <w:rPr>
          <w:rFonts w:ascii="Arial" w:eastAsia="Arial" w:hAnsi="Arial" w:cs="Arial"/>
        </w:rPr>
        <w:t>Acrylamide Solution</w:t>
      </w:r>
    </w:p>
    <w:p>
      <w:pPr>
        <w:spacing w:after="0" w:line="240" w:lineRule="auto"/>
      </w:pPr>
      <w:r>
        <w:tab/>
      </w:r>
      <w:r>
        <w:rPr>
          <w:rFonts w:ascii="Arial" w:eastAsia="Arial" w:hAnsi="Arial" w:cs="Arial"/>
        </w:rPr>
        <w:t>600 µL</w:t>
      </w:r>
      <w:r>
        <w:tab/>
      </w:r>
      <w:r>
        <w:rPr>
          <w:rFonts w:ascii="Arial" w:eastAsia="Arial" w:hAnsi="Arial" w:cs="Arial"/>
        </w:rPr>
        <w:t xml:space="preserve">Fresh (2 weeks) 10% Ammonium </w:t>
      </w:r>
      <w:r>
        <w:rPr>
          <w:rFonts w:ascii="Arial" w:eastAsia="Arial" w:hAnsi="Arial" w:cs="Arial"/>
        </w:rPr>
        <w:t>Persulfate</w:t>
      </w:r>
    </w:p>
    <w:p>
      <w:pPr>
        <w:spacing w:after="0" w:line="240" w:lineRule="auto"/>
      </w:pPr>
      <w:r>
        <w:tab/>
      </w:r>
      <w:r>
        <w:rPr>
          <w:rFonts w:ascii="Arial" w:eastAsia="Arial" w:hAnsi="Arial" w:cs="Arial"/>
        </w:rPr>
        <w:t>30 µL</w:t>
      </w:r>
      <w:r>
        <w:tab/>
      </w:r>
      <w:r>
        <w:rPr>
          <w:rFonts w:ascii="Arial" w:eastAsia="Arial" w:hAnsi="Arial" w:cs="Arial"/>
        </w:rPr>
        <w:t>Fresh TEMED</w:t>
      </w:r>
    </w:p>
    <w:p>
      <w:pPr>
        <w:spacing w:after="0" w:line="240" w:lineRule="auto"/>
      </w:pPr>
      <w:r>
        <w:rPr>
          <w:rFonts w:ascii="Arial" w:eastAsia="Arial" w:hAnsi="Arial" w:cs="Arial"/>
        </w:rPr>
        <w:t>8. Mix by</w:t>
      </w:r>
      <w:r>
        <w:rPr>
          <w:rFonts w:ascii="Arial" w:eastAsia="Arial" w:hAnsi="Arial" w:cs="Arial"/>
        </w:rPr>
        <w:t xml:space="preserve"> inversion. Quickly apply 3 mL across the top of the plates and allow to run between the plates.</w:t>
      </w:r>
      <w:r>
        <w:br/>
      </w:r>
      <w:r>
        <w:br/>
      </w:r>
      <w:r>
        <w:rPr>
          <w:rFonts w:ascii="Arial" w:eastAsia="Arial" w:hAnsi="Arial" w:cs="Arial"/>
        </w:rPr>
        <w:t>9. Continue to provide acrylamide to the top of the plates as it runs in. DO NOT allow the top to run dry or bubbles will form. DO NOT overfill. Tap any slow-</w:t>
      </w:r>
      <w:r>
        <w:rPr>
          <w:rFonts w:ascii="Arial" w:eastAsia="Arial" w:hAnsi="Arial" w:cs="Arial"/>
        </w:rPr>
        <w:t>running spots to quicken flow and avoid bubble formation.</w:t>
      </w:r>
      <w:r>
        <w:br/>
      </w:r>
      <w:r>
        <w:br/>
      </w:r>
      <w:r>
        <w:rPr>
          <w:rFonts w:ascii="Arial" w:eastAsia="Arial" w:hAnsi="Arial" w:cs="Arial"/>
        </w:rPr>
        <w:t>10. When acrylamide solution fills the space between the plates, remove the 25 mL pipet and lay the plates flat. Insert comb teeth up and clamp. Layer excess acrylamide over the comb and across the</w:t>
      </w:r>
      <w:r>
        <w:rPr>
          <w:rFonts w:ascii="Arial" w:eastAsia="Arial" w:hAnsi="Arial" w:cs="Arial"/>
        </w:rPr>
        <w:t xml:space="preserve"> bottom lip. Polymerize for 30 min</w:t>
      </w:r>
    </w:p>
    <w:p>
      <w:pPr>
        <w:spacing w:line="240" w:lineRule="auto"/>
      </w:pPr>
    </w:p>
    <w:sectPr>
      <w:headerReference w:type="default" r:id="rId4"/>
      <w:footerReference w:type="default" r:id="rId5"/>
      <w:pgSz w:w="12240" w:h="15840"/>
      <w:pgMar w:top="720" w:right="720" w:bottom="720" w:left="720" w:header="720" w:footer="720" w:gutter="0"/>
      <w:cols w:num="1"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line="240"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grammar="clean"/>
  <w:stylePaneFormatFilter w:val="3F01" w:allStyles="0" w:alternateStyleNames="0" w:clearFormatting="1" w:customStyles="0" w:directFormattingOnNumbering="0" w:directFormattingOnParagraphs="0" w:directFormattingOnRuns="0" w:directFormattingOnTables="0" w:headingStyles="1" w:latentStyles="1" w:numberingStyles="0" w:stylesInUse="0" w:tableStyles="0" w:top3HeadingStyles="0" w:visibleStyles="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jc w:val="left"/>
    </w:pPr>
    <w:rPr>
      <w:rFonts w:ascii="Calibri" w:eastAsia="Calibri" w:hAnsi="Calibri" w:cs="Calibri"/>
      <w:color w:val="000000"/>
      <w:sz w:val="22"/>
      <w:szCs w:val="24"/>
    </w:rPr>
  </w:style>
  <w:style w:type="paragraph" w:styleId="Heading1">
    <w:name w:val="heading 1"/>
    <w:basedOn w:val="Normal"/>
    <w:next w:val="Normal"/>
    <w:qFormat/>
    <w:rsid w:val="00EF7B96"/>
    <w:pPr>
      <w:keepNext/>
      <w:spacing w:before="480" w:after="60" w:line="276" w:lineRule="auto"/>
      <w:jc w:val="left"/>
      <w:outlineLvl w:val="0"/>
    </w:pPr>
    <w:rPr>
      <w:rFonts w:ascii="Cambria" w:eastAsia="Cambria" w:hAnsi="Cambria" w:cs="Cambria"/>
      <w:b/>
      <w:bCs/>
      <w:color w:val="365F91"/>
      <w:kern w:val="32"/>
      <w:sz w:val="28"/>
      <w:szCs w:val="32"/>
    </w:rPr>
  </w:style>
  <w:style w:type="paragraph" w:styleId="Heading2">
    <w:name w:val="heading 2"/>
    <w:basedOn w:val="Normal"/>
    <w:next w:val="Normal"/>
    <w:qFormat/>
    <w:rsid w:val="00EF7B96"/>
    <w:pPr>
      <w:keepNext/>
      <w:spacing w:before="200" w:after="60" w:line="276" w:lineRule="auto"/>
      <w:jc w:val="left"/>
      <w:outlineLvl w:val="1"/>
    </w:pPr>
    <w:rPr>
      <w:rFonts w:ascii="Cambria" w:eastAsia="Cambria" w:hAnsi="Cambria" w:cs="Cambria"/>
      <w:b/>
      <w:bCs/>
      <w:i/>
      <w:iCs/>
      <w:color w:val="4F81BD"/>
      <w:sz w:val="26"/>
      <w:szCs w:val="28"/>
    </w:rPr>
  </w:style>
  <w:style w:type="paragraph" w:styleId="Heading3">
    <w:name w:val="heading 3"/>
    <w:basedOn w:val="Normal"/>
    <w:next w:val="Normal"/>
    <w:qFormat/>
    <w:rsid w:val="00EF7B96"/>
    <w:pPr>
      <w:keepNext/>
      <w:spacing w:before="200" w:after="60" w:line="276" w:lineRule="auto"/>
      <w:jc w:val="left"/>
      <w:outlineLvl w:val="2"/>
    </w:pPr>
    <w:rPr>
      <w:rFonts w:ascii="Cambria" w:eastAsia="Cambria" w:hAnsi="Cambria" w:cs="Cambria"/>
      <w:b/>
      <w:bCs/>
      <w:color w:val="4F81BD"/>
      <w:sz w:val="22"/>
      <w:szCs w:val="26"/>
    </w:rPr>
  </w:style>
  <w:style w:type="paragraph" w:styleId="Heading4">
    <w:name w:val="heading 4"/>
    <w:basedOn w:val="Normal"/>
    <w:next w:val="Normal"/>
    <w:qFormat/>
    <w:rsid w:val="00EF7B96"/>
    <w:pPr>
      <w:keepNext/>
      <w:spacing w:before="200" w:after="60" w:line="276" w:lineRule="auto"/>
      <w:jc w:val="left"/>
      <w:outlineLvl w:val="3"/>
    </w:pPr>
    <w:rPr>
      <w:rFonts w:ascii="Cambria" w:eastAsia="Cambria" w:hAnsi="Cambria" w:cs="Cambria"/>
      <w:b/>
      <w:bCs/>
      <w:i/>
      <w:color w:val="4F81BD"/>
      <w:sz w:val="22"/>
      <w:szCs w:val="28"/>
    </w:rPr>
  </w:style>
  <w:style w:type="paragraph" w:styleId="Heading5">
    <w:name w:val="heading 5"/>
    <w:basedOn w:val="Normal"/>
    <w:next w:val="Normal"/>
    <w:qFormat/>
    <w:rsid w:val="00EF7B96"/>
    <w:pPr>
      <w:spacing w:before="200" w:after="60" w:line="276" w:lineRule="auto"/>
      <w:jc w:val="left"/>
      <w:outlineLvl w:val="4"/>
    </w:pPr>
    <w:rPr>
      <w:rFonts w:ascii="Cambria" w:eastAsia="Cambria" w:hAnsi="Cambria" w:cs="Cambria"/>
      <w:b/>
      <w:bCs/>
      <w:i/>
      <w:iCs/>
      <w:color w:val="243F60"/>
      <w:sz w:val="22"/>
      <w:szCs w:val="26"/>
    </w:rPr>
  </w:style>
  <w:style w:type="paragraph" w:styleId="Heading6">
    <w:name w:val="heading 6"/>
    <w:basedOn w:val="Normal"/>
    <w:next w:val="Normal"/>
    <w:qFormat/>
    <w:rsid w:val="00EF7B96"/>
    <w:pPr>
      <w:spacing w:before="200" w:after="60" w:line="276" w:lineRule="auto"/>
      <w:jc w:val="left"/>
      <w:outlineLvl w:val="5"/>
    </w:pPr>
    <w:rPr>
      <w:rFonts w:ascii="Cambria" w:eastAsia="Cambria" w:hAnsi="Cambria" w:cs="Cambria"/>
      <w:b/>
      <w:bCs/>
      <w:i/>
      <w:color w:val="243F60"/>
      <w:sz w:val="22"/>
      <w:szCs w:val="22"/>
    </w:rPr>
  </w:style>
  <w:style w:type="paragraph" w:styleId="Heading7">
    <w:name w:val="heading 7"/>
    <w:basedOn w:val="Normal"/>
    <w:next w:val="Normal"/>
    <w:qFormat/>
    <w:rsid w:val="00EF7B96"/>
    <w:pPr>
      <w:spacing w:before="200" w:after="60" w:line="276" w:lineRule="auto"/>
      <w:jc w:val="left"/>
      <w:outlineLvl w:val="6"/>
    </w:pPr>
    <w:rPr>
      <w:rFonts w:ascii="Cambria" w:eastAsia="Cambria" w:hAnsi="Cambria" w:cs="Cambria"/>
      <w:i/>
      <w:color w:val="404040"/>
      <w:sz w:val="22"/>
    </w:rPr>
  </w:style>
  <w:style w:type="paragraph" w:styleId="Heading8">
    <w:name w:val="heading 8"/>
    <w:basedOn w:val="Normal"/>
    <w:next w:val="Normal"/>
    <w:qFormat/>
    <w:rsid w:val="00EF7B96"/>
    <w:pPr>
      <w:spacing w:before="200" w:after="60" w:line="276" w:lineRule="auto"/>
      <w:jc w:val="left"/>
      <w:outlineLvl w:val="7"/>
    </w:pPr>
    <w:rPr>
      <w:rFonts w:ascii="Cambria" w:eastAsia="Cambria" w:hAnsi="Cambria" w:cs="Cambria"/>
      <w:i/>
      <w:iCs/>
      <w:color w:val="404040"/>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    <Relationship Id="rId7" Type="http://schemas.openxmlformats.org/officeDocument/2006/relationships/customXml" Target="../customXml/item1.xml"/>
</Relationships>
</file>

<file path=customXml/_rels/item1.xml.rels><?xml version="1.0" encoding="UTF-8" standalone="yes"?>
  <Relationships xmlns="http://schemas.openxmlformats.org/package/2006/relationships">
    <Relationship Id="rId7" Type="http://schemas.openxmlformats.org/officeDocument/2006/relationships/customXmlProps" Target="itemProps1.xml"/>
  </Relationships>

</file>

<file path=customXml/item1.xml><?xml version="1.0" encoding="utf-8"?>
<LabArchives xmlns:xsi="http://www.w3.org/2001/XMLSchema-instance" xmlns:xsd="http://www.w3.org/2001/XMLSchema">
  <BaseUri>https://mynotebook.labarchives.com</BaseUri>
  <eid>MjEzLjJ8MjY1NjI1LzE2NC9FbnRyeVBhcnQvMzc0ODY0NTAwMHw1NDEuMg==</eid>
  <version>7</version>
  <updated-at>2014-12-05T10:02:56-08:00</updated-at>
</LabArchives>
</file>

<file path=customXml/itemProps1.xml><?xml version="1.0" encoding="utf-8"?>
<ds:datastoreItem xmlns:ds="http://schemas.openxmlformats.org/officeDocument/2006/customXml" ds:itemID="{DD654E80-E488-4A97-8596-DB76C6E45DC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