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A84F6" w14:textId="77777777" w:rsidR="00B60939" w:rsidRDefault="00B60939" w:rsidP="00B60939">
      <w:pPr>
        <w:spacing w:line="480" w:lineRule="auto"/>
        <w:rPr>
          <w:rFonts w:ascii="Times New Roman" w:hAnsi="Times New Roman" w:cs="Times New Roman"/>
        </w:rPr>
      </w:pPr>
      <w:r>
        <w:rPr>
          <w:rFonts w:ascii="Times New Roman" w:hAnsi="Times New Roman" w:cs="Times New Roman"/>
        </w:rPr>
        <w:t xml:space="preserve">Charlotte </w:t>
      </w:r>
      <w:proofErr w:type="spellStart"/>
      <w:r>
        <w:rPr>
          <w:rFonts w:ascii="Times New Roman" w:hAnsi="Times New Roman" w:cs="Times New Roman"/>
        </w:rPr>
        <w:t>Ogorek</w:t>
      </w:r>
      <w:proofErr w:type="spellEnd"/>
    </w:p>
    <w:p w14:paraId="2B68D3B0" w14:textId="7E7C7F30" w:rsidR="00D051DF" w:rsidRDefault="00D051DF" w:rsidP="00D051DF">
      <w:pPr>
        <w:spacing w:line="480" w:lineRule="auto"/>
        <w:jc w:val="center"/>
        <w:rPr>
          <w:rFonts w:ascii="Times New Roman" w:hAnsi="Times New Roman" w:cs="Times New Roman"/>
        </w:rPr>
      </w:pPr>
      <w:r>
        <w:rPr>
          <w:rFonts w:ascii="Times New Roman" w:hAnsi="Times New Roman" w:cs="Times New Roman"/>
        </w:rPr>
        <w:t>Fragonard</w:t>
      </w:r>
      <w:r w:rsidR="0053531F">
        <w:rPr>
          <w:rFonts w:ascii="Times New Roman" w:hAnsi="Times New Roman" w:cs="Times New Roman"/>
        </w:rPr>
        <w:t xml:space="preserve">’s Reflections of </w:t>
      </w:r>
      <w:proofErr w:type="spellStart"/>
      <w:r>
        <w:rPr>
          <w:rFonts w:ascii="Times New Roman" w:hAnsi="Times New Roman" w:cs="Times New Roman"/>
        </w:rPr>
        <w:t>Protofeminism</w:t>
      </w:r>
      <w:proofErr w:type="spellEnd"/>
      <w:r>
        <w:rPr>
          <w:rFonts w:ascii="Times New Roman" w:hAnsi="Times New Roman" w:cs="Times New Roman"/>
        </w:rPr>
        <w:t xml:space="preserve"> in 18</w:t>
      </w:r>
      <w:r w:rsidRPr="00D051DF">
        <w:rPr>
          <w:rFonts w:ascii="Times New Roman" w:hAnsi="Times New Roman" w:cs="Times New Roman"/>
          <w:vertAlign w:val="superscript"/>
        </w:rPr>
        <w:t>th</w:t>
      </w:r>
      <w:r>
        <w:rPr>
          <w:rFonts w:ascii="Times New Roman" w:hAnsi="Times New Roman" w:cs="Times New Roman"/>
        </w:rPr>
        <w:t xml:space="preserve"> Century France</w:t>
      </w:r>
    </w:p>
    <w:p w14:paraId="373D613D" w14:textId="7B9847F5" w:rsidR="00B60939" w:rsidRDefault="00B60939" w:rsidP="00B60939">
      <w:pPr>
        <w:spacing w:line="480" w:lineRule="auto"/>
        <w:ind w:firstLine="720"/>
        <w:rPr>
          <w:rFonts w:ascii="Times" w:hAnsi="Times"/>
          <w:color w:val="000000"/>
        </w:rPr>
      </w:pPr>
      <w:r w:rsidRPr="00C1056D">
        <w:rPr>
          <w:rFonts w:ascii="Times" w:hAnsi="Times"/>
          <w:color w:val="000000"/>
        </w:rPr>
        <w:t xml:space="preserve">The Rococo era in France, taking place in the </w:t>
      </w:r>
      <w:r>
        <w:rPr>
          <w:rFonts w:ascii="Times" w:hAnsi="Times"/>
          <w:color w:val="000000"/>
        </w:rPr>
        <w:t>middle to late</w:t>
      </w:r>
      <w:r w:rsidRPr="00C1056D">
        <w:rPr>
          <w:rFonts w:ascii="Times" w:hAnsi="Times"/>
          <w:color w:val="000000"/>
        </w:rPr>
        <w:t xml:space="preserve"> </w:t>
      </w:r>
      <w:r>
        <w:rPr>
          <w:rFonts w:ascii="Times" w:hAnsi="Times"/>
          <w:color w:val="000000"/>
        </w:rPr>
        <w:t>18</w:t>
      </w:r>
      <w:r w:rsidRPr="00E91E75">
        <w:rPr>
          <w:rFonts w:ascii="Times" w:hAnsi="Times"/>
          <w:color w:val="000000"/>
          <w:vertAlign w:val="superscript"/>
        </w:rPr>
        <w:t>th</w:t>
      </w:r>
      <w:r>
        <w:rPr>
          <w:rFonts w:ascii="Times" w:hAnsi="Times"/>
          <w:color w:val="000000"/>
        </w:rPr>
        <w:t xml:space="preserve"> century, is sometimes regarded as an era of silly, frivolous art, and critics at the time would be inclined to agree. As a reactionary period to the excessive grandeur and solemn decadence seen in the previous Baroque period through works such as King Louis XIV’s Palace of Versailles, as well as a manifestation of the onset of the Enlightenment period in France, Rococo art often centered around scenes of leisure and play, disregarding previous tastes for historical or biblical scenes, and often displaying a much more relaxed moral code. While civil unrest that would soon lead to violent rioting, guillotine executions, and ultimately revolution grew within the proletariat class, the aristocracy at the time enjoyed a period of education, high culture, and philosophical ideals such as love and play </w:t>
      </w:r>
      <w:r w:rsidR="00577483">
        <w:rPr>
          <w:rFonts w:ascii="Times" w:hAnsi="Times"/>
          <w:color w:val="000000"/>
        </w:rPr>
        <w:t xml:space="preserve">as </w:t>
      </w:r>
      <w:r>
        <w:rPr>
          <w:rFonts w:ascii="Times" w:hAnsi="Times"/>
          <w:color w:val="000000"/>
        </w:rPr>
        <w:t>reflected in their art. This period also saw a rare but remarkable inclusion of women, not only in cultural and artistic realms, but also in the academic world. Many aristocratic women received extended education and were active contributors to philosophy and literature, writing works themselves and engaging in discourse with the leading male thinkers of the period.</w:t>
      </w:r>
      <w:r w:rsidR="00FE5606" w:rsidRPr="00FE5606">
        <w:rPr>
          <w:rFonts w:ascii="Times" w:hAnsi="Times"/>
          <w:color w:val="000000"/>
        </w:rPr>
        <w:t xml:space="preserve"> </w:t>
      </w:r>
      <w:r w:rsidR="00926B99">
        <w:rPr>
          <w:rFonts w:ascii="Times" w:hAnsi="Times"/>
          <w:color w:val="000000"/>
        </w:rPr>
        <w:t xml:space="preserve">French Rococo painter Jean-Honoré Fragonard, who often included depictions of women in his works, did not shy away from these sociopolitical shifts, but instead supported them by subverting the typical male gaze and narratives that dominated the </w:t>
      </w:r>
      <w:r w:rsidR="004967BC">
        <w:rPr>
          <w:rFonts w:ascii="Times" w:hAnsi="Times"/>
          <w:color w:val="000000"/>
        </w:rPr>
        <w:t xml:space="preserve">world of art prior to the period. </w:t>
      </w:r>
      <w:r w:rsidR="00FE5606">
        <w:rPr>
          <w:rFonts w:ascii="Times" w:hAnsi="Times"/>
          <w:color w:val="000000"/>
        </w:rPr>
        <w:t>Not only do Fragonard’s representations of women reflect Rococo’s interests of love, pleasure, and leisure, but also the freedom and even empowerment found by aristocratic women in France at this time.</w:t>
      </w:r>
    </w:p>
    <w:p w14:paraId="48C84111" w14:textId="6B0632C3" w:rsidR="00B60939" w:rsidRDefault="00B60939" w:rsidP="00B60939">
      <w:pPr>
        <w:spacing w:line="480" w:lineRule="auto"/>
        <w:rPr>
          <w:rFonts w:ascii="Times New Roman" w:hAnsi="Times New Roman" w:cs="Times New Roman"/>
        </w:rPr>
      </w:pPr>
      <w:r>
        <w:rPr>
          <w:rFonts w:ascii="Times" w:hAnsi="Times"/>
          <w:color w:val="000000"/>
        </w:rPr>
        <w:lastRenderedPageBreak/>
        <w:tab/>
      </w:r>
      <w:r w:rsidR="00FE5606">
        <w:rPr>
          <w:rFonts w:ascii="Times" w:hAnsi="Times"/>
          <w:color w:val="000000"/>
        </w:rPr>
        <w:t xml:space="preserve">Jean-Honoré </w:t>
      </w:r>
      <w:r>
        <w:rPr>
          <w:rFonts w:ascii="Times" w:hAnsi="Times"/>
          <w:color w:val="000000"/>
        </w:rPr>
        <w:t xml:space="preserve">Fragonard, born in Grasse, France in 1732, moved to Paris at the age of </w:t>
      </w:r>
      <w:r w:rsidR="00D051DF">
        <w:rPr>
          <w:rFonts w:ascii="Times" w:hAnsi="Times"/>
          <w:color w:val="000000"/>
        </w:rPr>
        <w:t xml:space="preserve">fifteen </w:t>
      </w:r>
      <w:r>
        <w:rPr>
          <w:rFonts w:ascii="Times" w:hAnsi="Times"/>
          <w:color w:val="000000"/>
        </w:rPr>
        <w:t>to pursue law, which he quickly abandoned for a career as a painter</w:t>
      </w:r>
      <w:r w:rsidR="0061168C">
        <w:rPr>
          <w:rFonts w:ascii="Times" w:hAnsi="Times"/>
          <w:color w:val="000000"/>
        </w:rPr>
        <w:t>.</w:t>
      </w:r>
      <w:r w:rsidR="00731EBF">
        <w:rPr>
          <w:rStyle w:val="FootnoteReference"/>
          <w:rFonts w:ascii="Times" w:hAnsi="Times"/>
          <w:color w:val="000000"/>
        </w:rPr>
        <w:footnoteReference w:id="1"/>
      </w:r>
      <w:r w:rsidR="0061168C">
        <w:rPr>
          <w:rFonts w:ascii="Times" w:hAnsi="Times"/>
          <w:color w:val="000000"/>
        </w:rPr>
        <w:t xml:space="preserve"> </w:t>
      </w:r>
      <w:r>
        <w:rPr>
          <w:rFonts w:ascii="Times" w:hAnsi="Times"/>
          <w:color w:val="000000"/>
        </w:rPr>
        <w:t>After apprenticing with another great painter at the time, François Boucher, he would continue to make a vast number of paintings, almost all depicting scenes of love. However, these scenes differ greatly from other periods, specifically in their refusal to objectify women and their focus on sensuality and romance</w:t>
      </w:r>
      <w:r w:rsidR="00FE5606">
        <w:rPr>
          <w:rFonts w:ascii="Times" w:hAnsi="Times"/>
          <w:color w:val="000000"/>
        </w:rPr>
        <w:t xml:space="preserve">. </w:t>
      </w:r>
      <w:r w:rsidR="00FE5606">
        <w:rPr>
          <w:rFonts w:ascii="Times New Roman" w:hAnsi="Times New Roman" w:cs="Times New Roman"/>
        </w:rPr>
        <w:t xml:space="preserve">Working mostly for private patrons after his departure from salon exhibitions, Jean-Honoré Fragonard’s paintings depict women in many types of scenes, including allegorical scenes, portraiture, and genre scenes, and he utilized a wide variety of stylistic tactics </w:t>
      </w:r>
      <w:proofErr w:type="gramStart"/>
      <w:r w:rsidR="00FE5606">
        <w:rPr>
          <w:rFonts w:ascii="Times New Roman" w:hAnsi="Times New Roman" w:cs="Times New Roman"/>
        </w:rPr>
        <w:t>in order to</w:t>
      </w:r>
      <w:proofErr w:type="gramEnd"/>
      <w:r w:rsidR="00FE5606">
        <w:rPr>
          <w:rFonts w:ascii="Times New Roman" w:hAnsi="Times New Roman" w:cs="Times New Roman"/>
        </w:rPr>
        <w:t xml:space="preserve"> portray them as individuals with agency as opposed to objects of male desire.</w:t>
      </w:r>
      <w:r w:rsidR="00FE5606">
        <w:rPr>
          <w:rStyle w:val="FootnoteReference"/>
          <w:rFonts w:ascii="Times New Roman" w:hAnsi="Times New Roman" w:cs="Times New Roman"/>
        </w:rPr>
        <w:footnoteReference w:id="2"/>
      </w:r>
    </w:p>
    <w:p w14:paraId="5E2A1BE6" w14:textId="64C3D8E7" w:rsidR="00FE5606" w:rsidRDefault="00FE5606" w:rsidP="00FE5606">
      <w:pPr>
        <w:spacing w:line="480" w:lineRule="auto"/>
        <w:ind w:firstLine="720"/>
        <w:rPr>
          <w:rFonts w:ascii="Times" w:hAnsi="Times"/>
          <w:color w:val="000000"/>
        </w:rPr>
      </w:pPr>
      <w:r>
        <w:rPr>
          <w:rFonts w:ascii="Times New Roman" w:hAnsi="Times New Roman" w:cs="Times New Roman"/>
        </w:rPr>
        <w:t xml:space="preserve">The concept of the gaze, </w:t>
      </w:r>
      <w:r w:rsidR="004967BC">
        <w:rPr>
          <w:rFonts w:ascii="Times New Roman" w:hAnsi="Times New Roman" w:cs="Times New Roman"/>
        </w:rPr>
        <w:t xml:space="preserve">introduced as part of </w:t>
      </w:r>
      <w:r>
        <w:rPr>
          <w:rFonts w:ascii="Times New Roman" w:hAnsi="Times New Roman" w:cs="Times New Roman"/>
        </w:rPr>
        <w:t xml:space="preserve">a feminist approach to art history in the 1990s by Norma </w:t>
      </w:r>
      <w:proofErr w:type="spellStart"/>
      <w:r>
        <w:rPr>
          <w:rFonts w:ascii="Times New Roman" w:hAnsi="Times New Roman" w:cs="Times New Roman"/>
        </w:rPr>
        <w:t>Broude</w:t>
      </w:r>
      <w:proofErr w:type="spellEnd"/>
      <w:r>
        <w:rPr>
          <w:rFonts w:ascii="Times New Roman" w:hAnsi="Times New Roman" w:cs="Times New Roman"/>
        </w:rPr>
        <w:t xml:space="preserve"> and Mary Garrard. addresses how female subjects are depicted.</w:t>
      </w:r>
      <w:r>
        <w:rPr>
          <w:rStyle w:val="FootnoteReference"/>
          <w:rFonts w:ascii="Times New Roman" w:hAnsi="Times New Roman" w:cs="Times New Roman"/>
        </w:rPr>
        <w:footnoteReference w:id="3"/>
      </w:r>
      <w:r>
        <w:rPr>
          <w:rFonts w:ascii="Times New Roman" w:hAnsi="Times New Roman" w:cs="Times New Roman"/>
        </w:rPr>
        <w:t xml:space="preserve"> The “male gaze” is often referred to when discussing these subjects, as they were often painted in a way that represented male-oriented ideals and fantasies of women, such as women reclining nude with their bodies on display or performing nude tasks such as bathing or dressing. Paintings such as Titian’s </w:t>
      </w:r>
      <w:r>
        <w:rPr>
          <w:rFonts w:ascii="Times New Roman" w:hAnsi="Times New Roman" w:cs="Times New Roman"/>
          <w:i/>
          <w:iCs/>
        </w:rPr>
        <w:t>Venus of Urbino</w:t>
      </w:r>
      <w:r>
        <w:rPr>
          <w:rFonts w:ascii="Times New Roman" w:hAnsi="Times New Roman" w:cs="Times New Roman"/>
        </w:rPr>
        <w:t xml:space="preserve">, 1534, or Édouard Manet’s later </w:t>
      </w:r>
      <w:r>
        <w:rPr>
          <w:rFonts w:ascii="Times New Roman" w:hAnsi="Times New Roman" w:cs="Times New Roman"/>
          <w:i/>
          <w:iCs/>
        </w:rPr>
        <w:t xml:space="preserve">Olympia, </w:t>
      </w:r>
      <w:r w:rsidRPr="00286ADD">
        <w:rPr>
          <w:rFonts w:ascii="Times New Roman" w:hAnsi="Times New Roman" w:cs="Times New Roman"/>
        </w:rPr>
        <w:t>1863</w:t>
      </w:r>
      <w:r>
        <w:rPr>
          <w:rFonts w:ascii="Times New Roman" w:hAnsi="Times New Roman" w:cs="Times New Roman"/>
        </w:rPr>
        <w:t xml:space="preserve">, often come to mind in such discussions. </w:t>
      </w:r>
      <w:r w:rsidR="004967BC">
        <w:rPr>
          <w:rFonts w:ascii="Times New Roman" w:hAnsi="Times New Roman" w:cs="Times New Roman"/>
        </w:rPr>
        <w:t xml:space="preserve">Many of </w:t>
      </w:r>
      <w:r>
        <w:rPr>
          <w:rFonts w:ascii="Times New Roman" w:hAnsi="Times New Roman" w:cs="Times New Roman"/>
        </w:rPr>
        <w:t xml:space="preserve">Fragonard’s </w:t>
      </w:r>
      <w:r w:rsidR="004967BC">
        <w:rPr>
          <w:rFonts w:ascii="Times New Roman" w:hAnsi="Times New Roman" w:cs="Times New Roman"/>
        </w:rPr>
        <w:t>works offer</w:t>
      </w:r>
      <w:r>
        <w:rPr>
          <w:rFonts w:ascii="Times New Roman" w:hAnsi="Times New Roman" w:cs="Times New Roman"/>
        </w:rPr>
        <w:t xml:space="preserve"> a direct contradiction to such depictions</w:t>
      </w:r>
      <w:r w:rsidR="004967BC">
        <w:rPr>
          <w:rFonts w:ascii="Times New Roman" w:hAnsi="Times New Roman" w:cs="Times New Roman"/>
        </w:rPr>
        <w:t xml:space="preserve"> by displaying female subjects fully clothed or with their backs turned to the viewer, reverting </w:t>
      </w:r>
      <w:r w:rsidR="004967BC">
        <w:rPr>
          <w:rFonts w:ascii="Times New Roman" w:hAnsi="Times New Roman" w:cs="Times New Roman"/>
        </w:rPr>
        <w:lastRenderedPageBreak/>
        <w:t xml:space="preserve">attention from their physiques and appearances and instead refocusing it on the actions being performed. </w:t>
      </w:r>
      <w:r>
        <w:rPr>
          <w:rFonts w:ascii="Times New Roman" w:hAnsi="Times New Roman" w:cs="Times New Roman"/>
        </w:rPr>
        <w:t>This palpable shift in depiction</w:t>
      </w:r>
      <w:r w:rsidR="00D051DF">
        <w:rPr>
          <w:rFonts w:ascii="Times New Roman" w:hAnsi="Times New Roman" w:cs="Times New Roman"/>
        </w:rPr>
        <w:t xml:space="preserve"> and gaze seen in Fragonard’s works are</w:t>
      </w:r>
      <w:r>
        <w:rPr>
          <w:rFonts w:ascii="Times New Roman" w:hAnsi="Times New Roman" w:cs="Times New Roman"/>
        </w:rPr>
        <w:t xml:space="preserve"> perhaps the most poignant reflection of the newfound respect granted to women at the time, as well as their roles as tastemakers themselves.</w:t>
      </w:r>
    </w:p>
    <w:p w14:paraId="45751632" w14:textId="1AD29EC6" w:rsidR="00B60939" w:rsidRDefault="00B60939" w:rsidP="00B60939">
      <w:pPr>
        <w:spacing w:line="480" w:lineRule="auto"/>
        <w:rPr>
          <w:rFonts w:ascii="Times" w:hAnsi="Times"/>
          <w:color w:val="000000"/>
        </w:rPr>
      </w:pPr>
      <w:r>
        <w:rPr>
          <w:rFonts w:ascii="Times" w:hAnsi="Times"/>
          <w:color w:val="000000"/>
        </w:rPr>
        <w:tab/>
        <w:t>In the beginning of the 18</w:t>
      </w:r>
      <w:r w:rsidRPr="00193D8A">
        <w:rPr>
          <w:rFonts w:ascii="Times" w:hAnsi="Times"/>
          <w:color w:val="000000"/>
          <w:vertAlign w:val="superscript"/>
        </w:rPr>
        <w:t>th</w:t>
      </w:r>
      <w:r>
        <w:rPr>
          <w:rFonts w:ascii="Times" w:hAnsi="Times"/>
          <w:color w:val="000000"/>
        </w:rPr>
        <w:t xml:space="preserve"> century, France experienced the Baroque period, characterized by opulent architecture and grand manner paintings of historical and biblical scenes. The Palace of Versailles, </w:t>
      </w:r>
      <w:r w:rsidR="00577483">
        <w:rPr>
          <w:rFonts w:ascii="Times" w:hAnsi="Times"/>
          <w:color w:val="000000"/>
        </w:rPr>
        <w:t>renovated by Louis XIV to feature floor to ceiling windows, crystal chandeliers, elaborate murals, and gold in every detail, was not only a display of opulent Baroque architecture, but also power. During this time, the king wished to reinforce his position with the idea</w:t>
      </w:r>
      <w:r w:rsidR="00422DA5">
        <w:rPr>
          <w:rFonts w:ascii="Times" w:hAnsi="Times"/>
          <w:color w:val="000000"/>
        </w:rPr>
        <w:t xml:space="preserve"> of divine ruling, in which God himself gifted the throne to those he wished to oversee France</w:t>
      </w:r>
      <w:r w:rsidR="00731EBF">
        <w:rPr>
          <w:rFonts w:ascii="Times" w:hAnsi="Times"/>
          <w:color w:val="000000"/>
        </w:rPr>
        <w:t>.</w:t>
      </w:r>
      <w:r w:rsidR="00731EBF">
        <w:rPr>
          <w:rStyle w:val="FootnoteReference"/>
          <w:rFonts w:ascii="Times" w:hAnsi="Times"/>
          <w:color w:val="000000"/>
        </w:rPr>
        <w:footnoteReference w:id="4"/>
      </w:r>
      <w:r w:rsidR="00731EBF">
        <w:rPr>
          <w:rFonts w:ascii="Times" w:hAnsi="Times"/>
          <w:color w:val="000000"/>
        </w:rPr>
        <w:t xml:space="preserve"> </w:t>
      </w:r>
      <w:r w:rsidR="00422DA5">
        <w:rPr>
          <w:rFonts w:ascii="Times" w:hAnsi="Times"/>
          <w:color w:val="000000"/>
        </w:rPr>
        <w:t>Perhaps the crystal, gold, and perfectly manicured gardens were created to emulate heaven, but by the mid to late 18</w:t>
      </w:r>
      <w:r w:rsidR="00422DA5" w:rsidRPr="00422DA5">
        <w:rPr>
          <w:rFonts w:ascii="Times" w:hAnsi="Times"/>
          <w:color w:val="000000"/>
          <w:vertAlign w:val="superscript"/>
        </w:rPr>
        <w:t>th</w:t>
      </w:r>
      <w:r w:rsidR="00422DA5">
        <w:rPr>
          <w:rFonts w:ascii="Times" w:hAnsi="Times"/>
          <w:color w:val="000000"/>
        </w:rPr>
        <w:t xml:space="preserve"> century, the French had grown sick of such displays of wealth. </w:t>
      </w:r>
      <w:r w:rsidR="006F0B9C">
        <w:rPr>
          <w:rFonts w:ascii="Times" w:hAnsi="Times"/>
          <w:color w:val="000000"/>
        </w:rPr>
        <w:t>For the proletariat class, the period only highlighted the enormous discrepancies between lifestyles</w:t>
      </w:r>
      <w:r w:rsidR="00E304C4">
        <w:rPr>
          <w:rFonts w:ascii="Times" w:hAnsi="Times"/>
          <w:color w:val="000000"/>
        </w:rPr>
        <w:t>; f</w:t>
      </w:r>
      <w:r w:rsidR="006F0B9C">
        <w:rPr>
          <w:rFonts w:ascii="Times" w:hAnsi="Times"/>
          <w:color w:val="000000"/>
        </w:rPr>
        <w:t>or the aristocra</w:t>
      </w:r>
      <w:r w:rsidR="00E304C4">
        <w:rPr>
          <w:rFonts w:ascii="Times" w:hAnsi="Times"/>
          <w:color w:val="000000"/>
        </w:rPr>
        <w:t>tic class</w:t>
      </w:r>
      <w:r w:rsidR="006F0B9C">
        <w:rPr>
          <w:rFonts w:ascii="Times" w:hAnsi="Times"/>
          <w:color w:val="000000"/>
        </w:rPr>
        <w:t>, the Baroque period was simply too uptight</w:t>
      </w:r>
      <w:r w:rsidR="00E304C4">
        <w:rPr>
          <w:rFonts w:ascii="Times" w:hAnsi="Times"/>
          <w:color w:val="000000"/>
        </w:rPr>
        <w:t xml:space="preserve"> and rigid</w:t>
      </w:r>
      <w:r w:rsidR="006F0B9C">
        <w:rPr>
          <w:rFonts w:ascii="Times" w:hAnsi="Times"/>
          <w:color w:val="000000"/>
        </w:rPr>
        <w:t xml:space="preserve">. </w:t>
      </w:r>
      <w:r w:rsidR="00E304C4">
        <w:rPr>
          <w:rFonts w:ascii="Times" w:hAnsi="Times"/>
          <w:color w:val="000000"/>
        </w:rPr>
        <w:t>As a result, the following period under the rule of Louis XV, nicknamed “The Well-Beloved” in his early years as king</w:t>
      </w:r>
      <w:r w:rsidR="00731EBF">
        <w:rPr>
          <w:rFonts w:ascii="Times" w:hAnsi="Times"/>
          <w:color w:val="000000"/>
        </w:rPr>
        <w:t xml:space="preserve">, </w:t>
      </w:r>
      <w:r w:rsidR="00E304C4">
        <w:rPr>
          <w:rFonts w:ascii="Times" w:hAnsi="Times"/>
          <w:color w:val="000000"/>
        </w:rPr>
        <w:t>erupted in light-hearted, playful sentiments and curiosity stemming from the coinciding era of enlightenment in Europe.</w:t>
      </w:r>
      <w:r w:rsidR="00731EBF">
        <w:rPr>
          <w:rStyle w:val="FootnoteReference"/>
          <w:rFonts w:ascii="Times" w:hAnsi="Times"/>
          <w:color w:val="000000"/>
        </w:rPr>
        <w:footnoteReference w:id="5"/>
      </w:r>
      <w:r w:rsidR="00E304C4">
        <w:rPr>
          <w:rFonts w:ascii="Times" w:hAnsi="Times"/>
          <w:color w:val="000000"/>
        </w:rPr>
        <w:t xml:space="preserve"> </w:t>
      </w:r>
    </w:p>
    <w:p w14:paraId="0B5DA359" w14:textId="24312DAC" w:rsidR="00E304C4" w:rsidRDefault="00E304C4" w:rsidP="00B60939">
      <w:pPr>
        <w:spacing w:line="480" w:lineRule="auto"/>
        <w:rPr>
          <w:rFonts w:ascii="Times" w:hAnsi="Times"/>
          <w:color w:val="000000"/>
        </w:rPr>
      </w:pPr>
      <w:r>
        <w:rPr>
          <w:rFonts w:ascii="Times" w:hAnsi="Times"/>
          <w:color w:val="000000"/>
        </w:rPr>
        <w:lastRenderedPageBreak/>
        <w:tab/>
      </w:r>
      <w:r w:rsidR="00573892">
        <w:rPr>
          <w:rFonts w:ascii="Times" w:hAnsi="Times"/>
          <w:color w:val="000000"/>
        </w:rPr>
        <w:t>While t</w:t>
      </w:r>
      <w:r>
        <w:rPr>
          <w:rFonts w:ascii="Times" w:hAnsi="Times"/>
          <w:color w:val="000000"/>
        </w:rPr>
        <w:t xml:space="preserve">his enlightenment brought about a newfound interest in </w:t>
      </w:r>
      <w:r w:rsidR="00573892">
        <w:rPr>
          <w:rFonts w:ascii="Times" w:hAnsi="Times"/>
          <w:color w:val="000000"/>
        </w:rPr>
        <w:t xml:space="preserve">academic areas such as </w:t>
      </w:r>
      <w:r>
        <w:rPr>
          <w:rFonts w:ascii="Times" w:hAnsi="Times"/>
          <w:color w:val="000000"/>
        </w:rPr>
        <w:t>science and philosophy</w:t>
      </w:r>
      <w:r w:rsidR="00573892">
        <w:rPr>
          <w:rFonts w:ascii="Times" w:hAnsi="Times"/>
          <w:color w:val="000000"/>
        </w:rPr>
        <w:t>, it also inspired much more liberal approaches to political and domestic realms. Ideas surrounding liberty, tolerance, and the separation of church and state began to bloom and flourish</w:t>
      </w:r>
      <w:r w:rsidR="00731EBF">
        <w:rPr>
          <w:rFonts w:ascii="Times" w:hAnsi="Times"/>
          <w:color w:val="000000"/>
        </w:rPr>
        <w:t>.</w:t>
      </w:r>
      <w:r w:rsidR="00731EBF">
        <w:rPr>
          <w:rStyle w:val="FootnoteReference"/>
          <w:rFonts w:ascii="Times" w:hAnsi="Times"/>
          <w:color w:val="000000"/>
        </w:rPr>
        <w:footnoteReference w:id="6"/>
      </w:r>
      <w:r w:rsidR="00731EBF">
        <w:rPr>
          <w:rFonts w:ascii="Times" w:hAnsi="Times"/>
          <w:color w:val="000000"/>
        </w:rPr>
        <w:t xml:space="preserve"> </w:t>
      </w:r>
      <w:r w:rsidR="008620C7">
        <w:rPr>
          <w:rFonts w:ascii="Times" w:hAnsi="Times"/>
          <w:color w:val="000000"/>
        </w:rPr>
        <w:t xml:space="preserve">As with most periods in history, Rococo art began to mirror such sociopolitical and ideological shifts in thinking, moving towards secular art. Portraiture and genre scenes gained widespread popularity, contrasting the previous Baroque period’s affinity for biblical and historical scenes. While the proletariat class embarked on a path of radical enlightenment that would lead to revolution, the aristocracy exercised liberal enlightenment, which nurtured literature, philosophy, theoretical thinking, </w:t>
      </w:r>
      <w:r w:rsidR="00EB3618">
        <w:rPr>
          <w:rFonts w:ascii="Times" w:hAnsi="Times"/>
          <w:color w:val="000000"/>
        </w:rPr>
        <w:t xml:space="preserve">relaxed moral codes, </w:t>
      </w:r>
      <w:r w:rsidR="008620C7">
        <w:rPr>
          <w:rFonts w:ascii="Times" w:hAnsi="Times"/>
          <w:color w:val="000000"/>
        </w:rPr>
        <w:t>and the extension of high</w:t>
      </w:r>
      <w:r w:rsidR="00EB3618">
        <w:rPr>
          <w:rFonts w:ascii="Times" w:hAnsi="Times"/>
          <w:color w:val="000000"/>
        </w:rPr>
        <w:t>er</w:t>
      </w:r>
      <w:r w:rsidR="008620C7">
        <w:rPr>
          <w:rFonts w:ascii="Times" w:hAnsi="Times"/>
          <w:color w:val="000000"/>
        </w:rPr>
        <w:t xml:space="preserve"> education to women</w:t>
      </w:r>
      <w:r w:rsidR="00731EBF">
        <w:rPr>
          <w:rFonts w:ascii="Times" w:hAnsi="Times"/>
          <w:color w:val="000000"/>
        </w:rPr>
        <w:t>.</w:t>
      </w:r>
      <w:r w:rsidR="00731EBF">
        <w:rPr>
          <w:rStyle w:val="FootnoteReference"/>
          <w:rFonts w:ascii="Times" w:hAnsi="Times"/>
          <w:color w:val="000000"/>
        </w:rPr>
        <w:footnoteReference w:id="7"/>
      </w:r>
      <w:r w:rsidR="00EB3618">
        <w:rPr>
          <w:rFonts w:ascii="Times" w:hAnsi="Times"/>
          <w:color w:val="000000"/>
        </w:rPr>
        <w:t xml:space="preserve"> </w:t>
      </w:r>
    </w:p>
    <w:p w14:paraId="2C8E82C7" w14:textId="60889972" w:rsidR="00F00E00" w:rsidRPr="0090104F" w:rsidRDefault="00EB3618" w:rsidP="0090104F">
      <w:pPr>
        <w:spacing w:line="480" w:lineRule="auto"/>
        <w:rPr>
          <w:rFonts w:ascii="Times" w:hAnsi="Times"/>
          <w:color w:val="000000"/>
        </w:rPr>
      </w:pPr>
      <w:r>
        <w:rPr>
          <w:rFonts w:ascii="Times" w:hAnsi="Times"/>
          <w:color w:val="000000"/>
        </w:rPr>
        <w:tab/>
        <w:t>French aristocratic women in the Rococo period were not only permitted higher education; they were also allowed</w:t>
      </w:r>
      <w:r w:rsidR="005C33C6">
        <w:rPr>
          <w:rFonts w:ascii="Times" w:hAnsi="Times"/>
          <w:color w:val="000000"/>
        </w:rPr>
        <w:t>, and even welcomed,</w:t>
      </w:r>
      <w:r>
        <w:rPr>
          <w:rFonts w:ascii="Times" w:hAnsi="Times"/>
          <w:color w:val="000000"/>
        </w:rPr>
        <w:t xml:space="preserve"> outside of the domestic</w:t>
      </w:r>
      <w:r w:rsidR="005C33C6">
        <w:rPr>
          <w:rFonts w:ascii="Times" w:hAnsi="Times"/>
          <w:color w:val="000000"/>
        </w:rPr>
        <w:t xml:space="preserve"> sphere</w:t>
      </w:r>
      <w:r>
        <w:rPr>
          <w:rFonts w:ascii="Times" w:hAnsi="Times"/>
          <w:color w:val="000000"/>
        </w:rPr>
        <w:t xml:space="preserve">. With most being literate at the very least, they were often heavily involved in cultural and social circles revolving around discourse concerning art, philosophy, and literature. Such gatherings, referred to as Salons, saw women mingling </w:t>
      </w:r>
      <w:r w:rsidR="002C1AFB">
        <w:rPr>
          <w:rFonts w:ascii="Times" w:hAnsi="Times"/>
          <w:color w:val="000000"/>
        </w:rPr>
        <w:t xml:space="preserve">and even maintaining close friendships </w:t>
      </w:r>
      <w:r>
        <w:rPr>
          <w:rFonts w:ascii="Times" w:hAnsi="Times"/>
          <w:color w:val="000000"/>
        </w:rPr>
        <w:t xml:space="preserve">with male scholars, philosophers, theorists, and artists, often offering their own opinions and input on a variety of matters. Madame de Pompadour, </w:t>
      </w:r>
      <w:proofErr w:type="gramStart"/>
      <w:r>
        <w:rPr>
          <w:rFonts w:ascii="Times" w:hAnsi="Times"/>
          <w:color w:val="000000"/>
        </w:rPr>
        <w:t>mistress</w:t>
      </w:r>
      <w:proofErr w:type="gramEnd"/>
      <w:r>
        <w:rPr>
          <w:rFonts w:ascii="Times" w:hAnsi="Times"/>
          <w:color w:val="000000"/>
        </w:rPr>
        <w:t xml:space="preserve"> and friend of King Louis XV, </w:t>
      </w:r>
      <w:r w:rsidR="00AD24F7">
        <w:rPr>
          <w:rFonts w:ascii="Times" w:hAnsi="Times"/>
          <w:color w:val="000000"/>
        </w:rPr>
        <w:t xml:space="preserve">is considered one of the period’s </w:t>
      </w:r>
      <w:r w:rsidR="00D051DF">
        <w:rPr>
          <w:rFonts w:ascii="Times" w:hAnsi="Times"/>
          <w:color w:val="000000"/>
        </w:rPr>
        <w:t>primary</w:t>
      </w:r>
      <w:r w:rsidR="00AD24F7">
        <w:rPr>
          <w:rFonts w:ascii="Times" w:hAnsi="Times"/>
          <w:color w:val="000000"/>
        </w:rPr>
        <w:t xml:space="preserve"> tastemakers, a powerful patron of the arts and fashion icon whose </w:t>
      </w:r>
      <w:r w:rsidR="00AD24F7">
        <w:rPr>
          <w:rFonts w:ascii="Times" w:hAnsi="Times"/>
          <w:color w:val="000000"/>
        </w:rPr>
        <w:lastRenderedPageBreak/>
        <w:t>example others were quick to follow</w:t>
      </w:r>
      <w:r w:rsidR="00731EBF">
        <w:rPr>
          <w:rFonts w:ascii="Times" w:hAnsi="Times"/>
          <w:color w:val="000000"/>
        </w:rPr>
        <w:t>.</w:t>
      </w:r>
      <w:r w:rsidR="00731EBF">
        <w:rPr>
          <w:rStyle w:val="FootnoteReference"/>
          <w:rFonts w:ascii="Times" w:hAnsi="Times"/>
          <w:color w:val="000000"/>
        </w:rPr>
        <w:footnoteReference w:id="8"/>
      </w:r>
      <w:r w:rsidR="00731EBF">
        <w:rPr>
          <w:rFonts w:ascii="Times" w:hAnsi="Times"/>
          <w:color w:val="000000"/>
        </w:rPr>
        <w:t xml:space="preserve"> </w:t>
      </w:r>
      <w:r w:rsidR="00AD24F7">
        <w:rPr>
          <w:rFonts w:ascii="Times" w:hAnsi="Times"/>
          <w:color w:val="000000"/>
        </w:rPr>
        <w:t>Many other women at the time</w:t>
      </w:r>
      <w:r w:rsidR="002C1AFB">
        <w:rPr>
          <w:rFonts w:ascii="Times" w:hAnsi="Times"/>
          <w:color w:val="000000"/>
        </w:rPr>
        <w:t xml:space="preserve"> hosted such salons in addition to attending them</w:t>
      </w:r>
      <w:r w:rsidR="00AD24F7">
        <w:rPr>
          <w:rFonts w:ascii="Times" w:hAnsi="Times"/>
          <w:color w:val="000000"/>
        </w:rPr>
        <w:t xml:space="preserve">, such as </w:t>
      </w:r>
      <w:r w:rsidR="002C1AFB">
        <w:rPr>
          <w:rFonts w:ascii="Times" w:hAnsi="Times"/>
          <w:color w:val="000000"/>
        </w:rPr>
        <w:t>Anne-</w:t>
      </w:r>
      <w:proofErr w:type="spellStart"/>
      <w:r w:rsidR="002C1AFB">
        <w:rPr>
          <w:rFonts w:ascii="Times" w:hAnsi="Times"/>
          <w:color w:val="000000"/>
        </w:rPr>
        <w:t>Térèse</w:t>
      </w:r>
      <w:proofErr w:type="spellEnd"/>
      <w:r w:rsidR="002C1AFB">
        <w:rPr>
          <w:rFonts w:ascii="Times" w:hAnsi="Times"/>
          <w:color w:val="000000"/>
        </w:rPr>
        <w:t xml:space="preserve"> de </w:t>
      </w:r>
      <w:proofErr w:type="spellStart"/>
      <w:r w:rsidR="002C1AFB">
        <w:rPr>
          <w:rFonts w:ascii="Times" w:hAnsi="Times"/>
          <w:color w:val="000000"/>
        </w:rPr>
        <w:t>Marguenat</w:t>
      </w:r>
      <w:proofErr w:type="spellEnd"/>
      <w:r w:rsidR="002C1AFB">
        <w:rPr>
          <w:rFonts w:ascii="Times" w:hAnsi="Times"/>
          <w:color w:val="000000"/>
        </w:rPr>
        <w:t xml:space="preserve"> de </w:t>
      </w:r>
      <w:proofErr w:type="spellStart"/>
      <w:r w:rsidR="002C1AFB">
        <w:rPr>
          <w:rFonts w:ascii="Times" w:hAnsi="Times"/>
          <w:color w:val="000000"/>
        </w:rPr>
        <w:t>Corcelles</w:t>
      </w:r>
      <w:proofErr w:type="spellEnd"/>
      <w:r w:rsidR="002C1AFB">
        <w:rPr>
          <w:rFonts w:ascii="Times" w:hAnsi="Times"/>
          <w:color w:val="000000"/>
        </w:rPr>
        <w:t xml:space="preserve">, </w:t>
      </w:r>
      <w:r w:rsidR="00D051DF">
        <w:rPr>
          <w:rFonts w:ascii="Times" w:hAnsi="Times"/>
          <w:color w:val="000000"/>
        </w:rPr>
        <w:t>also known as</w:t>
      </w:r>
      <w:r w:rsidR="002C1AFB">
        <w:rPr>
          <w:rFonts w:ascii="Times" w:hAnsi="Times"/>
          <w:color w:val="000000"/>
        </w:rPr>
        <w:t xml:space="preserve"> the Marquis de Lambert. A talented writer and essayist herself, publishing a number of works concerning matters such as friendship, family, and femininity, she was known to hold salons on two nights a week for different academic circles, though her guests were able to freely attend either gathering as they saw fit.</w:t>
      </w:r>
      <w:r w:rsidR="00731EBF">
        <w:rPr>
          <w:rStyle w:val="FootnoteReference"/>
          <w:rFonts w:ascii="Times" w:hAnsi="Times"/>
          <w:color w:val="000000"/>
        </w:rPr>
        <w:footnoteReference w:id="9"/>
      </w:r>
      <w:r w:rsidR="002C1AFB">
        <w:rPr>
          <w:rFonts w:ascii="Times" w:hAnsi="Times"/>
          <w:color w:val="000000"/>
        </w:rPr>
        <w:t xml:space="preserve"> </w:t>
      </w:r>
      <w:r w:rsidR="00530761">
        <w:rPr>
          <w:rFonts w:ascii="Times" w:hAnsi="Times"/>
          <w:color w:val="000000"/>
        </w:rPr>
        <w:t>These two women are only examples of the vast number of others who participated in the formation of taste, style, and culture in the Rococo era, holding their place amongst even the most powerful and respected men in the French aristocracy.</w:t>
      </w:r>
    </w:p>
    <w:p w14:paraId="1925F007" w14:textId="11824F83" w:rsidR="004E08B2" w:rsidRDefault="00F00E00" w:rsidP="00F00E00">
      <w:pPr>
        <w:spacing w:line="480" w:lineRule="auto"/>
        <w:rPr>
          <w:rFonts w:ascii="Times New Roman" w:hAnsi="Times New Roman" w:cs="Times New Roman"/>
        </w:rPr>
      </w:pPr>
      <w:r>
        <w:rPr>
          <w:rFonts w:ascii="Times New Roman" w:hAnsi="Times New Roman" w:cs="Times New Roman"/>
        </w:rPr>
        <w:tab/>
      </w:r>
      <w:r w:rsidR="00F41FD2">
        <w:rPr>
          <w:rFonts w:ascii="Times New Roman" w:hAnsi="Times New Roman" w:cs="Times New Roman"/>
        </w:rPr>
        <w:t xml:space="preserve">Jean-Honoré </w:t>
      </w:r>
      <w:r w:rsidR="00274251">
        <w:rPr>
          <w:rFonts w:ascii="Times New Roman" w:hAnsi="Times New Roman" w:cs="Times New Roman"/>
        </w:rPr>
        <w:t xml:space="preserve">Fragonard </w:t>
      </w:r>
      <w:r w:rsidR="00F41FD2">
        <w:rPr>
          <w:rFonts w:ascii="Times New Roman" w:hAnsi="Times New Roman" w:cs="Times New Roman"/>
        </w:rPr>
        <w:t xml:space="preserve">was not oblivious or adverse to the changes surrounding him in French </w:t>
      </w:r>
      <w:proofErr w:type="gramStart"/>
      <w:r w:rsidR="00F41FD2">
        <w:rPr>
          <w:rFonts w:ascii="Times New Roman" w:hAnsi="Times New Roman" w:cs="Times New Roman"/>
        </w:rPr>
        <w:t>society, and</w:t>
      </w:r>
      <w:proofErr w:type="gramEnd"/>
      <w:r w:rsidR="00F41FD2">
        <w:rPr>
          <w:rFonts w:ascii="Times New Roman" w:hAnsi="Times New Roman" w:cs="Times New Roman"/>
        </w:rPr>
        <w:t xml:space="preserve"> </w:t>
      </w:r>
      <w:r w:rsidR="00274251">
        <w:rPr>
          <w:rFonts w:ascii="Times New Roman" w:hAnsi="Times New Roman" w:cs="Times New Roman"/>
        </w:rPr>
        <w:t xml:space="preserve">used a variety of formal strategies to uplift women within </w:t>
      </w:r>
      <w:r w:rsidR="00810B31">
        <w:rPr>
          <w:rFonts w:ascii="Times New Roman" w:hAnsi="Times New Roman" w:cs="Times New Roman"/>
        </w:rPr>
        <w:t xml:space="preserve">his paintings. One tactic, such as that used in </w:t>
      </w:r>
      <w:r>
        <w:rPr>
          <w:rFonts w:ascii="Times New Roman" w:hAnsi="Times New Roman" w:cs="Times New Roman"/>
          <w:i/>
          <w:iCs/>
        </w:rPr>
        <w:t xml:space="preserve">The Swing </w:t>
      </w:r>
      <w:r>
        <w:rPr>
          <w:rFonts w:ascii="Times New Roman" w:hAnsi="Times New Roman" w:cs="Times New Roman"/>
        </w:rPr>
        <w:t>(F</w:t>
      </w:r>
      <w:r w:rsidR="00A422E6">
        <w:rPr>
          <w:rFonts w:ascii="Times New Roman" w:hAnsi="Times New Roman" w:cs="Times New Roman"/>
        </w:rPr>
        <w:t>igure 1</w:t>
      </w:r>
      <w:r>
        <w:rPr>
          <w:rFonts w:ascii="Times New Roman" w:hAnsi="Times New Roman" w:cs="Times New Roman"/>
        </w:rPr>
        <w:t xml:space="preserve">) and </w:t>
      </w:r>
      <w:r>
        <w:rPr>
          <w:rFonts w:ascii="Times New Roman" w:hAnsi="Times New Roman" w:cs="Times New Roman"/>
          <w:i/>
          <w:iCs/>
        </w:rPr>
        <w:t xml:space="preserve">The Musical Contest </w:t>
      </w:r>
      <w:r>
        <w:rPr>
          <w:rFonts w:ascii="Times New Roman" w:hAnsi="Times New Roman" w:cs="Times New Roman"/>
        </w:rPr>
        <w:t>(</w:t>
      </w:r>
      <w:r w:rsidR="00A422E6">
        <w:rPr>
          <w:rFonts w:ascii="Times New Roman" w:hAnsi="Times New Roman" w:cs="Times New Roman"/>
        </w:rPr>
        <w:t>Figure 2)</w:t>
      </w:r>
      <w:r>
        <w:rPr>
          <w:rFonts w:ascii="Times New Roman" w:hAnsi="Times New Roman" w:cs="Times New Roman"/>
        </w:rPr>
        <w:t xml:space="preserve"> </w:t>
      </w:r>
      <w:r w:rsidR="00F41FD2">
        <w:rPr>
          <w:rFonts w:ascii="Times New Roman" w:hAnsi="Times New Roman" w:cs="Times New Roman"/>
        </w:rPr>
        <w:t>is</w:t>
      </w:r>
      <w:r w:rsidR="00810B31">
        <w:rPr>
          <w:rFonts w:ascii="Times New Roman" w:hAnsi="Times New Roman" w:cs="Times New Roman"/>
        </w:rPr>
        <w:t xml:space="preserve"> </w:t>
      </w:r>
      <w:r>
        <w:rPr>
          <w:rFonts w:ascii="Times New Roman" w:hAnsi="Times New Roman" w:cs="Times New Roman"/>
        </w:rPr>
        <w:t xml:space="preserve">simple but remarkably effective: composition. </w:t>
      </w:r>
      <w:r w:rsidR="00FE5606">
        <w:rPr>
          <w:rFonts w:ascii="Times" w:hAnsi="Times"/>
          <w:i/>
          <w:iCs/>
          <w:color w:val="000000"/>
        </w:rPr>
        <w:t xml:space="preserve">The Swing, </w:t>
      </w:r>
      <w:r w:rsidR="00FE5606">
        <w:rPr>
          <w:rFonts w:ascii="Times" w:hAnsi="Times"/>
          <w:color w:val="000000"/>
        </w:rPr>
        <w:t xml:space="preserve">painted in oil on canvas by Jean-Honoré Fragonard in 1767, is perhaps the hallmark artwork of the period. Painted in pastel colors and set in a lush, overgrown garden featuring statues of mythological </w:t>
      </w:r>
      <w:r w:rsidR="00472847">
        <w:rPr>
          <w:rFonts w:ascii="Times" w:hAnsi="Times"/>
          <w:color w:val="000000"/>
        </w:rPr>
        <w:t xml:space="preserve">cherubs, or </w:t>
      </w:r>
      <w:r w:rsidR="00FE5606" w:rsidRPr="00472847">
        <w:rPr>
          <w:rFonts w:ascii="Times" w:hAnsi="Times"/>
          <w:i/>
          <w:iCs/>
          <w:color w:val="000000"/>
        </w:rPr>
        <w:t>putti</w:t>
      </w:r>
      <w:r w:rsidR="00FE5606">
        <w:rPr>
          <w:rFonts w:ascii="Times" w:hAnsi="Times"/>
          <w:i/>
          <w:iCs/>
          <w:color w:val="000000"/>
        </w:rPr>
        <w:t xml:space="preserve">, </w:t>
      </w:r>
      <w:r w:rsidR="00FE5606">
        <w:rPr>
          <w:rFonts w:ascii="Times" w:hAnsi="Times"/>
          <w:color w:val="000000"/>
        </w:rPr>
        <w:t xml:space="preserve">the scene depicts a woman swinging and casting a knowing, flirtatious look down at the man lying below her </w:t>
      </w:r>
      <w:proofErr w:type="gramStart"/>
      <w:r w:rsidR="00FE5606">
        <w:rPr>
          <w:rFonts w:ascii="Times" w:hAnsi="Times"/>
          <w:color w:val="000000"/>
        </w:rPr>
        <w:t>in order to</w:t>
      </w:r>
      <w:proofErr w:type="gramEnd"/>
      <w:r w:rsidR="00FE5606">
        <w:rPr>
          <w:rFonts w:ascii="Times" w:hAnsi="Times"/>
          <w:color w:val="000000"/>
        </w:rPr>
        <w:t xml:space="preserve"> catch a glimpse up the skirt of her dress as her chaperone remains oblivious in the background. </w:t>
      </w:r>
      <w:r>
        <w:rPr>
          <w:rFonts w:ascii="Times New Roman" w:hAnsi="Times New Roman" w:cs="Times New Roman"/>
          <w:i/>
          <w:iCs/>
        </w:rPr>
        <w:t>The Swing</w:t>
      </w:r>
      <w:r w:rsidR="00FE5606">
        <w:rPr>
          <w:rFonts w:ascii="Times New Roman" w:hAnsi="Times New Roman" w:cs="Times New Roman"/>
          <w:i/>
          <w:iCs/>
        </w:rPr>
        <w:t xml:space="preserve"> </w:t>
      </w:r>
      <w:r>
        <w:rPr>
          <w:rFonts w:ascii="Times New Roman" w:hAnsi="Times New Roman" w:cs="Times New Roman"/>
        </w:rPr>
        <w:t>is an excellent example of using composition to uplift the woman in the scene, making her an active participant as opposed to passive. Three figures appear in the painting</w:t>
      </w:r>
      <w:r w:rsidR="000E0D70">
        <w:rPr>
          <w:rFonts w:ascii="Times New Roman" w:hAnsi="Times New Roman" w:cs="Times New Roman"/>
        </w:rPr>
        <w:t xml:space="preserve">; two men, one holding the role of oblivious chaperone while the other, </w:t>
      </w:r>
      <w:r w:rsidR="00472847">
        <w:rPr>
          <w:rFonts w:ascii="Times New Roman" w:hAnsi="Times New Roman" w:cs="Times New Roman"/>
        </w:rPr>
        <w:t>the</w:t>
      </w:r>
      <w:r w:rsidR="000E0D70">
        <w:rPr>
          <w:rFonts w:ascii="Times New Roman" w:hAnsi="Times New Roman" w:cs="Times New Roman"/>
        </w:rPr>
        <w:t xml:space="preserve"> suitor, hides </w:t>
      </w:r>
      <w:r w:rsidR="000E0D70">
        <w:rPr>
          <w:rFonts w:ascii="Times New Roman" w:hAnsi="Times New Roman" w:cs="Times New Roman"/>
        </w:rPr>
        <w:lastRenderedPageBreak/>
        <w:t xml:space="preserve">in the underbrush, poised to receive a scandalous view of the third figure, a young woman on a swing. Placed in the center of the scene and illuminated by the sunlight filtering between the lush, green foliage, the woman is clearly intended to draw the </w:t>
      </w:r>
      <w:r w:rsidR="004E08B2">
        <w:rPr>
          <w:rFonts w:ascii="Times New Roman" w:hAnsi="Times New Roman" w:cs="Times New Roman"/>
        </w:rPr>
        <w:t xml:space="preserve">immediate attention </w:t>
      </w:r>
      <w:r w:rsidR="000E0D70">
        <w:rPr>
          <w:rFonts w:ascii="Times New Roman" w:hAnsi="Times New Roman" w:cs="Times New Roman"/>
        </w:rPr>
        <w:t xml:space="preserve">of the viewer as the other two figures remain in the shadows. She wears a beautiful, elaborate pink dress with lace detailing and a hat and choker as she swings upwards, away from her chaperone and into the view of her secret onlooker. </w:t>
      </w:r>
    </w:p>
    <w:p w14:paraId="1E8462F6" w14:textId="33FF0FEF" w:rsidR="004E08B2" w:rsidRDefault="000E0D70" w:rsidP="004E08B2">
      <w:pPr>
        <w:spacing w:line="480" w:lineRule="auto"/>
        <w:ind w:firstLine="720"/>
        <w:rPr>
          <w:rFonts w:ascii="Times New Roman" w:hAnsi="Times New Roman" w:cs="Times New Roman"/>
        </w:rPr>
      </w:pPr>
      <w:r>
        <w:rPr>
          <w:rFonts w:ascii="Times New Roman" w:hAnsi="Times New Roman" w:cs="Times New Roman"/>
        </w:rPr>
        <w:t>At first glance, a</w:t>
      </w:r>
      <w:r w:rsidR="004E08B2">
        <w:rPr>
          <w:rFonts w:ascii="Times New Roman" w:hAnsi="Times New Roman" w:cs="Times New Roman"/>
        </w:rPr>
        <w:t xml:space="preserve">fter </w:t>
      </w:r>
      <w:r>
        <w:rPr>
          <w:rFonts w:ascii="Times New Roman" w:hAnsi="Times New Roman" w:cs="Times New Roman"/>
        </w:rPr>
        <w:t>viewing the woman and then becoming aware of her company, the viewer may fear that she has fallen victim to a Peeping Tom</w:t>
      </w:r>
      <w:r w:rsidR="004E08B2">
        <w:rPr>
          <w:rFonts w:ascii="Times New Roman" w:hAnsi="Times New Roman" w:cs="Times New Roman"/>
        </w:rPr>
        <w:t xml:space="preserve">. However, Fragonard is quick to assure his audience that this is not the case. Her expression reveals her knowing participation in the encounter: she gazes down directly upon the man below her with the corners of her mouth turned slightly upwards, giving her a </w:t>
      </w:r>
      <w:r w:rsidR="00874C91">
        <w:rPr>
          <w:rFonts w:ascii="Times New Roman" w:hAnsi="Times New Roman" w:cs="Times New Roman"/>
        </w:rPr>
        <w:t xml:space="preserve">quietly </w:t>
      </w:r>
      <w:r w:rsidR="004E08B2">
        <w:rPr>
          <w:rFonts w:ascii="Times New Roman" w:hAnsi="Times New Roman" w:cs="Times New Roman"/>
        </w:rPr>
        <w:t xml:space="preserve">flirtatious look. She is also depicted kicking off one of her dainty pink slippers so that it should fall upon her suitor and leave her right foot revealed. Through these details, as well as the composition </w:t>
      </w:r>
      <w:proofErr w:type="gramStart"/>
      <w:r w:rsidR="004E08B2">
        <w:rPr>
          <w:rFonts w:ascii="Times New Roman" w:hAnsi="Times New Roman" w:cs="Times New Roman"/>
        </w:rPr>
        <w:t>as a whole which</w:t>
      </w:r>
      <w:proofErr w:type="gramEnd"/>
      <w:r w:rsidR="004E08B2">
        <w:rPr>
          <w:rFonts w:ascii="Times New Roman" w:hAnsi="Times New Roman" w:cs="Times New Roman"/>
        </w:rPr>
        <w:t xml:space="preserve"> demands the viewer focus on her, she is portrayed as not only an object of desire to be looked upon, but </w:t>
      </w:r>
      <w:r w:rsidR="0086266B">
        <w:rPr>
          <w:rFonts w:ascii="Times New Roman" w:hAnsi="Times New Roman" w:cs="Times New Roman"/>
        </w:rPr>
        <w:t xml:space="preserve">an individual with </w:t>
      </w:r>
      <w:r w:rsidR="004E08B2">
        <w:rPr>
          <w:rFonts w:ascii="Times New Roman" w:hAnsi="Times New Roman" w:cs="Times New Roman"/>
        </w:rPr>
        <w:t>desires of her own which she wishes to express.</w:t>
      </w:r>
    </w:p>
    <w:p w14:paraId="6986D68D" w14:textId="1252F4C6" w:rsidR="0086266B" w:rsidRDefault="0086266B" w:rsidP="004E08B2">
      <w:pPr>
        <w:spacing w:line="480" w:lineRule="auto"/>
        <w:ind w:firstLine="720"/>
        <w:rPr>
          <w:rFonts w:ascii="Times New Roman" w:hAnsi="Times New Roman" w:cs="Times New Roman"/>
        </w:rPr>
      </w:pPr>
      <w:r>
        <w:rPr>
          <w:rFonts w:ascii="Times New Roman" w:hAnsi="Times New Roman" w:cs="Times New Roman"/>
          <w:i/>
          <w:iCs/>
        </w:rPr>
        <w:t xml:space="preserve">The Musical Contest, </w:t>
      </w:r>
      <w:r>
        <w:rPr>
          <w:rFonts w:ascii="Times New Roman" w:hAnsi="Times New Roman" w:cs="Times New Roman"/>
        </w:rPr>
        <w:t>painted by Fragonard between 1754 and 1755 in oil on canvas, is another strong example of the artist’s use of composition to create a scene in which the woman holds the power. Once again placed in the center of the scene and above the other two figures, both men and potential suitors, the woman depicted stands tall and holds a parasol in her left hand, further adding to the height of her figure as the men fall below her on either side. Her right hand, holding a floral crown, is extended out from her body</w:t>
      </w:r>
      <w:r w:rsidR="001E6973">
        <w:rPr>
          <w:rFonts w:ascii="Times New Roman" w:hAnsi="Times New Roman" w:cs="Times New Roman"/>
        </w:rPr>
        <w:t xml:space="preserve">. </w:t>
      </w:r>
      <w:r>
        <w:rPr>
          <w:rFonts w:ascii="Times New Roman" w:hAnsi="Times New Roman" w:cs="Times New Roman"/>
        </w:rPr>
        <w:t>The man on</w:t>
      </w:r>
      <w:r w:rsidR="001E6973">
        <w:rPr>
          <w:rFonts w:ascii="Times New Roman" w:hAnsi="Times New Roman" w:cs="Times New Roman"/>
        </w:rPr>
        <w:t xml:space="preserve"> her left</w:t>
      </w:r>
      <w:r>
        <w:rPr>
          <w:rFonts w:ascii="Times New Roman" w:hAnsi="Times New Roman" w:cs="Times New Roman"/>
        </w:rPr>
        <w:t xml:space="preserve"> is positioned rather pathetically on his knees, clinging to her and looking up at her </w:t>
      </w:r>
      <w:r w:rsidR="004542FD">
        <w:rPr>
          <w:rFonts w:ascii="Times New Roman" w:hAnsi="Times New Roman" w:cs="Times New Roman"/>
        </w:rPr>
        <w:t>in anguish</w:t>
      </w:r>
      <w:r>
        <w:rPr>
          <w:rFonts w:ascii="Times New Roman" w:hAnsi="Times New Roman" w:cs="Times New Roman"/>
        </w:rPr>
        <w:t xml:space="preserve"> as she gazes away in the opposite direction. </w:t>
      </w:r>
      <w:r w:rsidR="001E6973">
        <w:rPr>
          <w:rFonts w:ascii="Times New Roman" w:hAnsi="Times New Roman" w:cs="Times New Roman"/>
        </w:rPr>
        <w:t xml:space="preserve">On her right, beneath her extended arm, the second man sits on </w:t>
      </w:r>
      <w:r w:rsidR="001E6973">
        <w:rPr>
          <w:rFonts w:ascii="Times New Roman" w:hAnsi="Times New Roman" w:cs="Times New Roman"/>
        </w:rPr>
        <w:lastRenderedPageBreak/>
        <w:t xml:space="preserve">the ground, staring up at her in admiration as he holds a musical instrument, which the title as well as the statues of </w:t>
      </w:r>
      <w:r w:rsidR="001E6973" w:rsidRPr="002E56AF">
        <w:rPr>
          <w:rFonts w:ascii="Times New Roman" w:hAnsi="Times New Roman" w:cs="Times New Roman"/>
          <w:i/>
          <w:iCs/>
        </w:rPr>
        <w:t>putti</w:t>
      </w:r>
      <w:r w:rsidR="001E6973">
        <w:rPr>
          <w:rFonts w:ascii="Times New Roman" w:hAnsi="Times New Roman" w:cs="Times New Roman"/>
        </w:rPr>
        <w:t xml:space="preserve"> in the background and symbolic fruit in the foreground suggest he is playing in hopes to win her love. From the extended arm holding the crown above one man while the other seems to be in disarray having lost his hat and coat, it appears she has chosen a winner between the two suitors. </w:t>
      </w:r>
      <w:r w:rsidR="004542FD">
        <w:rPr>
          <w:rFonts w:ascii="Times New Roman" w:hAnsi="Times New Roman" w:cs="Times New Roman"/>
        </w:rPr>
        <w:t>The contents of the scene depicted, further emphasized by the dramatic composition featuring considerable differences in heights, postures, and expressions, not only assign all control and agency to the woman over her own romantic endeavors, but also reduce the men to subdued figures, desperate for her approval.</w:t>
      </w:r>
    </w:p>
    <w:p w14:paraId="501A6BE4" w14:textId="11F9913D" w:rsidR="003D4186" w:rsidRDefault="006F600C" w:rsidP="0090104F">
      <w:pPr>
        <w:spacing w:line="480" w:lineRule="auto"/>
        <w:ind w:firstLine="720"/>
        <w:rPr>
          <w:rFonts w:ascii="Times New Roman" w:hAnsi="Times New Roman" w:cs="Times New Roman"/>
        </w:rPr>
      </w:pPr>
      <w:r>
        <w:rPr>
          <w:rFonts w:ascii="Times New Roman" w:hAnsi="Times New Roman" w:cs="Times New Roman"/>
        </w:rPr>
        <w:t xml:space="preserve">This pattern of </w:t>
      </w:r>
      <w:r w:rsidR="002E56AF">
        <w:rPr>
          <w:rFonts w:ascii="Times New Roman" w:hAnsi="Times New Roman" w:cs="Times New Roman"/>
        </w:rPr>
        <w:t xml:space="preserve">female </w:t>
      </w:r>
      <w:r w:rsidR="003D4186">
        <w:rPr>
          <w:rFonts w:ascii="Times New Roman" w:hAnsi="Times New Roman" w:cs="Times New Roman"/>
        </w:rPr>
        <w:t>agency</w:t>
      </w:r>
      <w:r w:rsidR="002E56AF">
        <w:rPr>
          <w:rFonts w:ascii="Times New Roman" w:hAnsi="Times New Roman" w:cs="Times New Roman"/>
        </w:rPr>
        <w:t xml:space="preserve"> depicted</w:t>
      </w:r>
      <w:r w:rsidR="003D4186">
        <w:rPr>
          <w:rFonts w:ascii="Times New Roman" w:hAnsi="Times New Roman" w:cs="Times New Roman"/>
        </w:rPr>
        <w:t xml:space="preserve"> in </w:t>
      </w:r>
      <w:r>
        <w:rPr>
          <w:rFonts w:ascii="Times New Roman" w:hAnsi="Times New Roman" w:cs="Times New Roman"/>
        </w:rPr>
        <w:t xml:space="preserve">Fragonard’s </w:t>
      </w:r>
      <w:r w:rsidR="003D4186">
        <w:rPr>
          <w:rFonts w:ascii="Times New Roman" w:hAnsi="Times New Roman" w:cs="Times New Roman"/>
        </w:rPr>
        <w:t xml:space="preserve">paintings </w:t>
      </w:r>
      <w:r>
        <w:rPr>
          <w:rFonts w:ascii="Times New Roman" w:hAnsi="Times New Roman" w:cs="Times New Roman"/>
        </w:rPr>
        <w:t xml:space="preserve">extend to scenes of physicality between lovers as well, often depicted as </w:t>
      </w:r>
      <w:r w:rsidR="005C4C2A">
        <w:rPr>
          <w:rFonts w:ascii="Times New Roman" w:hAnsi="Times New Roman" w:cs="Times New Roman"/>
        </w:rPr>
        <w:t>soft</w:t>
      </w:r>
      <w:r>
        <w:rPr>
          <w:rFonts w:ascii="Times New Roman" w:hAnsi="Times New Roman" w:cs="Times New Roman"/>
        </w:rPr>
        <w:t xml:space="preserve"> moments of sensuality as opposed to lustful scenes</w:t>
      </w:r>
      <w:r w:rsidR="003D4186">
        <w:rPr>
          <w:rFonts w:ascii="Times New Roman" w:hAnsi="Times New Roman" w:cs="Times New Roman"/>
        </w:rPr>
        <w:t xml:space="preserve"> in which the female subject is sexualized</w:t>
      </w:r>
      <w:r>
        <w:rPr>
          <w:rFonts w:ascii="Times New Roman" w:hAnsi="Times New Roman" w:cs="Times New Roman"/>
        </w:rPr>
        <w:t>.</w:t>
      </w:r>
      <w:r w:rsidR="005A18B8">
        <w:rPr>
          <w:rFonts w:ascii="Times New Roman" w:hAnsi="Times New Roman" w:cs="Times New Roman"/>
        </w:rPr>
        <w:t xml:space="preserve"> </w:t>
      </w:r>
      <w:r w:rsidR="002E56AF">
        <w:rPr>
          <w:rFonts w:ascii="Times New Roman" w:hAnsi="Times New Roman" w:cs="Times New Roman"/>
        </w:rPr>
        <w:t xml:space="preserve">In these scenes, he uses thoughtful composition as well, but also makes distinct visual choices </w:t>
      </w:r>
      <w:proofErr w:type="gramStart"/>
      <w:r w:rsidR="002E56AF">
        <w:rPr>
          <w:rFonts w:ascii="Times New Roman" w:hAnsi="Times New Roman" w:cs="Times New Roman"/>
        </w:rPr>
        <w:t>in order to</w:t>
      </w:r>
      <w:proofErr w:type="gramEnd"/>
      <w:r w:rsidR="002E56AF">
        <w:rPr>
          <w:rFonts w:ascii="Times New Roman" w:hAnsi="Times New Roman" w:cs="Times New Roman"/>
        </w:rPr>
        <w:t xml:space="preserve"> create empowering representations. </w:t>
      </w:r>
      <w:r w:rsidR="00D05A52">
        <w:rPr>
          <w:rFonts w:ascii="Times New Roman" w:hAnsi="Times New Roman" w:cs="Times New Roman"/>
          <w:i/>
          <w:iCs/>
        </w:rPr>
        <w:t xml:space="preserve">The Desired Moment </w:t>
      </w:r>
      <w:r w:rsidR="00D05A52">
        <w:rPr>
          <w:rFonts w:ascii="Times New Roman" w:hAnsi="Times New Roman" w:cs="Times New Roman"/>
        </w:rPr>
        <w:t>(</w:t>
      </w:r>
      <w:r w:rsidR="00A422E6">
        <w:rPr>
          <w:rFonts w:ascii="Times New Roman" w:hAnsi="Times New Roman" w:cs="Times New Roman"/>
        </w:rPr>
        <w:t>Figure 3),</w:t>
      </w:r>
      <w:r w:rsidR="00D05A52">
        <w:rPr>
          <w:rFonts w:ascii="Times New Roman" w:hAnsi="Times New Roman" w:cs="Times New Roman"/>
        </w:rPr>
        <w:t xml:space="preserve"> painted between 1755 and 1765 in oil on canvas, shows </w:t>
      </w:r>
      <w:r w:rsidR="000F7BAD">
        <w:rPr>
          <w:rFonts w:ascii="Times New Roman" w:hAnsi="Times New Roman" w:cs="Times New Roman"/>
        </w:rPr>
        <w:t>a man and woman</w:t>
      </w:r>
      <w:r w:rsidR="00D05A52">
        <w:rPr>
          <w:rFonts w:ascii="Times New Roman" w:hAnsi="Times New Roman" w:cs="Times New Roman"/>
        </w:rPr>
        <w:t xml:space="preserve"> in bed sharing a passionate embrace. </w:t>
      </w:r>
      <w:r w:rsidR="000F7BAD">
        <w:rPr>
          <w:rFonts w:ascii="Times New Roman" w:hAnsi="Times New Roman" w:cs="Times New Roman"/>
        </w:rPr>
        <w:t>The woman reclines in her lover’s arms, wrapping herself around his neck as they share a kiss. Though pictured fully in the nude, Fragonard protects his subject’s modesty by depicting her turned away from the viewer so that only her back and a small sliver of her buttocks are visible. Both appear comfortable, fully absorbed by the moment and unaware of the viewer</w:t>
      </w:r>
      <w:r w:rsidR="005C4C2A">
        <w:rPr>
          <w:rFonts w:ascii="Times New Roman" w:hAnsi="Times New Roman" w:cs="Times New Roman"/>
        </w:rPr>
        <w:t xml:space="preserve">. By largely concealing the woman’s face and body, themes </w:t>
      </w:r>
      <w:r w:rsidR="0082051E">
        <w:rPr>
          <w:rFonts w:ascii="Times New Roman" w:hAnsi="Times New Roman" w:cs="Times New Roman"/>
        </w:rPr>
        <w:t xml:space="preserve">prevalent to the male gaze when depicting female nudes </w:t>
      </w:r>
      <w:r w:rsidR="005C4C2A">
        <w:rPr>
          <w:rFonts w:ascii="Times New Roman" w:hAnsi="Times New Roman" w:cs="Times New Roman"/>
        </w:rPr>
        <w:t>such as eroticism and voyeurism</w:t>
      </w:r>
      <w:r w:rsidR="0082051E">
        <w:rPr>
          <w:rFonts w:ascii="Times New Roman" w:hAnsi="Times New Roman" w:cs="Times New Roman"/>
        </w:rPr>
        <w:t xml:space="preserve"> </w:t>
      </w:r>
      <w:r w:rsidR="005C4C2A">
        <w:rPr>
          <w:rFonts w:ascii="Times New Roman" w:hAnsi="Times New Roman" w:cs="Times New Roman"/>
        </w:rPr>
        <w:t>are largely removed from the scene, giving it qualities of genuine love and tenderness instead.</w:t>
      </w:r>
      <w:r w:rsidR="003D4186">
        <w:rPr>
          <w:rFonts w:ascii="Times New Roman" w:hAnsi="Times New Roman" w:cs="Times New Roman"/>
        </w:rPr>
        <w:t xml:space="preserve"> </w:t>
      </w:r>
    </w:p>
    <w:p w14:paraId="106A2163" w14:textId="7822EA62" w:rsidR="006F600C" w:rsidRDefault="003D4186" w:rsidP="003D4186">
      <w:pPr>
        <w:spacing w:line="480" w:lineRule="auto"/>
        <w:ind w:firstLine="720"/>
        <w:rPr>
          <w:rFonts w:ascii="Times New Roman" w:hAnsi="Times New Roman" w:cs="Times New Roman"/>
        </w:rPr>
      </w:pPr>
      <w:r>
        <w:rPr>
          <w:rFonts w:ascii="Times New Roman" w:hAnsi="Times New Roman" w:cs="Times New Roman"/>
        </w:rPr>
        <w:t xml:space="preserve">Similarly, </w:t>
      </w:r>
      <w:r>
        <w:rPr>
          <w:rFonts w:ascii="Times New Roman" w:hAnsi="Times New Roman" w:cs="Times New Roman"/>
          <w:i/>
          <w:iCs/>
        </w:rPr>
        <w:t xml:space="preserve">The Kiss </w:t>
      </w:r>
      <w:r>
        <w:rPr>
          <w:rFonts w:ascii="Times New Roman" w:hAnsi="Times New Roman" w:cs="Times New Roman"/>
        </w:rPr>
        <w:t>(F</w:t>
      </w:r>
      <w:r w:rsidR="00A422E6">
        <w:rPr>
          <w:rFonts w:ascii="Times New Roman" w:hAnsi="Times New Roman" w:cs="Times New Roman"/>
        </w:rPr>
        <w:t>igure 4</w:t>
      </w:r>
      <w:r>
        <w:rPr>
          <w:rFonts w:ascii="Times New Roman" w:hAnsi="Times New Roman" w:cs="Times New Roman"/>
        </w:rPr>
        <w:t xml:space="preserve">), painted in oil on canvas between 1763 and 1778, depicts a man and a woman embracing from the shoulders up. The woman, reclining against a pillow, </w:t>
      </w:r>
      <w:r>
        <w:rPr>
          <w:rFonts w:ascii="Times New Roman" w:hAnsi="Times New Roman" w:cs="Times New Roman"/>
        </w:rPr>
        <w:lastRenderedPageBreak/>
        <w:t>wraps her arms around her lover, pressing his head beneath her chin into her bosom. He holds her equally tight as she plants a soft kiss on his cheek, slightly squishing his face against her own.</w:t>
      </w:r>
      <w:r w:rsidR="00334423">
        <w:rPr>
          <w:rFonts w:ascii="Times New Roman" w:hAnsi="Times New Roman" w:cs="Times New Roman"/>
        </w:rPr>
        <w:t xml:space="preserve"> Both of their eyes are closed, giving them a sense of mutual comfort and vulnerability</w:t>
      </w:r>
      <w:r w:rsidR="0082051E">
        <w:rPr>
          <w:rFonts w:ascii="Times New Roman" w:hAnsi="Times New Roman" w:cs="Times New Roman"/>
        </w:rPr>
        <w:t xml:space="preserve"> devoid of lustfulness</w:t>
      </w:r>
      <w:r w:rsidR="0041467D">
        <w:rPr>
          <w:rFonts w:ascii="Times New Roman" w:hAnsi="Times New Roman" w:cs="Times New Roman"/>
        </w:rPr>
        <w:t>.</w:t>
      </w:r>
    </w:p>
    <w:p w14:paraId="4FB0441E" w14:textId="7762069E" w:rsidR="00E612EA" w:rsidRDefault="00592C1C" w:rsidP="00FE5606">
      <w:pPr>
        <w:spacing w:line="480" w:lineRule="auto"/>
        <w:ind w:firstLine="720"/>
        <w:rPr>
          <w:rFonts w:ascii="Times New Roman" w:hAnsi="Times New Roman" w:cs="Times New Roman"/>
        </w:rPr>
      </w:pPr>
      <w:r>
        <w:rPr>
          <w:rFonts w:ascii="Times New Roman" w:hAnsi="Times New Roman" w:cs="Times New Roman"/>
        </w:rPr>
        <w:t xml:space="preserve">The last work to be included in this discussion, </w:t>
      </w:r>
      <w:r>
        <w:rPr>
          <w:rFonts w:ascii="Times New Roman" w:hAnsi="Times New Roman" w:cs="Times New Roman"/>
          <w:i/>
          <w:iCs/>
        </w:rPr>
        <w:t>The Love Letter</w:t>
      </w:r>
      <w:r w:rsidR="00E612EA">
        <w:rPr>
          <w:rFonts w:ascii="Times New Roman" w:hAnsi="Times New Roman" w:cs="Times New Roman"/>
          <w:i/>
          <w:iCs/>
        </w:rPr>
        <w:t xml:space="preserve"> </w:t>
      </w:r>
      <w:r w:rsidR="00E612EA">
        <w:rPr>
          <w:rFonts w:ascii="Times New Roman" w:hAnsi="Times New Roman" w:cs="Times New Roman"/>
        </w:rPr>
        <w:t>(</w:t>
      </w:r>
      <w:r w:rsidR="00A422E6">
        <w:rPr>
          <w:rFonts w:ascii="Times New Roman" w:hAnsi="Times New Roman" w:cs="Times New Roman"/>
        </w:rPr>
        <w:t>Figure 5</w:t>
      </w:r>
      <w:proofErr w:type="gramStart"/>
      <w:r w:rsidR="00E612EA">
        <w:rPr>
          <w:rFonts w:ascii="Times New Roman" w:hAnsi="Times New Roman" w:cs="Times New Roman"/>
        </w:rPr>
        <w:t>)</w:t>
      </w:r>
      <w:r w:rsidR="00E612EA">
        <w:rPr>
          <w:rFonts w:ascii="Times New Roman" w:hAnsi="Times New Roman" w:cs="Times New Roman"/>
          <w:i/>
          <w:iCs/>
        </w:rPr>
        <w:t xml:space="preserve"> </w:t>
      </w:r>
      <w:r>
        <w:rPr>
          <w:rFonts w:ascii="Times New Roman" w:hAnsi="Times New Roman" w:cs="Times New Roman"/>
          <w:i/>
          <w:iCs/>
        </w:rPr>
        <w:t>,</w:t>
      </w:r>
      <w:proofErr w:type="gramEnd"/>
      <w:r>
        <w:rPr>
          <w:rFonts w:ascii="Times New Roman" w:hAnsi="Times New Roman" w:cs="Times New Roman"/>
          <w:i/>
          <w:iCs/>
        </w:rPr>
        <w:t xml:space="preserve"> </w:t>
      </w:r>
      <w:r w:rsidR="00874C91">
        <w:rPr>
          <w:rFonts w:ascii="Times New Roman" w:hAnsi="Times New Roman" w:cs="Times New Roman"/>
        </w:rPr>
        <w:t>features a singular female subject</w:t>
      </w:r>
      <w:r w:rsidR="0082051E">
        <w:rPr>
          <w:rFonts w:ascii="Times New Roman" w:hAnsi="Times New Roman" w:cs="Times New Roman"/>
        </w:rPr>
        <w:t xml:space="preserve"> and uses symbolism in addition to composition and intentionality behind visual representation</w:t>
      </w:r>
      <w:r w:rsidR="00874C91">
        <w:rPr>
          <w:rFonts w:ascii="Times New Roman" w:hAnsi="Times New Roman" w:cs="Times New Roman"/>
        </w:rPr>
        <w:t xml:space="preserve">. Painted in the early 1770s in oil on canvas, the genre scene depicts a woman in a blue dress with lace detailing and a pink and white cap seated at a desk facing a round window. On the desk sits a pile of papers, and the woman holds a folded letter and a bouquet of pink flowers close to her chest. The woman wears a coy expression on her powdered face, with the corner of her mouth turned upwards as she looks over her shoulder directly at the viewer as her slightly bedraggled dog lays behind her on the stool, making equally intense eye contact. </w:t>
      </w:r>
      <w:r w:rsidR="00E612EA">
        <w:rPr>
          <w:rFonts w:ascii="Times New Roman" w:hAnsi="Times New Roman" w:cs="Times New Roman"/>
        </w:rPr>
        <w:t>The scene reiterates the themes seen throughout Fragonard’s work and offers markers of the status of women at the time. The desk at which she sits appears to be set up for writing, reenforcing the education and literacy of aristocratic women, and the flowers and letter, as well as the dog, often a symbol of fidelity, suggest some sort of social interaction taking place outside of the frame, most likely concerning a lover. The lack of suitor within the scene implies the woman’s own participation and agency in her romantic endeavors.</w:t>
      </w:r>
    </w:p>
    <w:p w14:paraId="0C264E6D" w14:textId="76D17A88" w:rsidR="00C77DE6" w:rsidRDefault="009D468D" w:rsidP="00E612EA">
      <w:pPr>
        <w:spacing w:line="480" w:lineRule="auto"/>
        <w:rPr>
          <w:rFonts w:ascii="Times New Roman" w:hAnsi="Times New Roman" w:cs="Times New Roman"/>
        </w:rPr>
      </w:pPr>
      <w:r>
        <w:rPr>
          <w:rFonts w:ascii="Times New Roman" w:hAnsi="Times New Roman" w:cs="Times New Roman"/>
        </w:rPr>
        <w:tab/>
      </w:r>
      <w:r w:rsidRPr="00C76A96">
        <w:rPr>
          <w:rFonts w:ascii="Times New Roman" w:hAnsi="Times New Roman" w:cs="Times New Roman"/>
        </w:rPr>
        <w:t>While women were often oppressed and disregarded throughout history, the Rococo period in France offered those in the aristocracy</w:t>
      </w:r>
      <w:r>
        <w:rPr>
          <w:rFonts w:ascii="Times New Roman" w:hAnsi="Times New Roman" w:cs="Times New Roman"/>
        </w:rPr>
        <w:t xml:space="preserve"> a small window of respite, permitting the education of women and including them in social and cultural realms free of gender discrimination. Women in this time did not take these freedoms lightly; many produced their own work, including art and written works, and participated in discussions regarding literature, </w:t>
      </w:r>
      <w:r>
        <w:rPr>
          <w:rFonts w:ascii="Times New Roman" w:hAnsi="Times New Roman" w:cs="Times New Roman"/>
        </w:rPr>
        <w:lastRenderedPageBreak/>
        <w:t xml:space="preserve">philosophy, and art, which led to </w:t>
      </w:r>
      <w:r w:rsidR="00886C4E">
        <w:rPr>
          <w:rFonts w:ascii="Times New Roman" w:hAnsi="Times New Roman" w:cs="Times New Roman"/>
        </w:rPr>
        <w:t>cultural</w:t>
      </w:r>
      <w:r>
        <w:rPr>
          <w:rFonts w:ascii="Times New Roman" w:hAnsi="Times New Roman" w:cs="Times New Roman"/>
        </w:rPr>
        <w:t xml:space="preserve"> tastes and trends heavily impacted by their opinions and preferences</w:t>
      </w:r>
      <w:r w:rsidR="00886C4E">
        <w:rPr>
          <w:rFonts w:ascii="Times New Roman" w:hAnsi="Times New Roman" w:cs="Times New Roman"/>
        </w:rPr>
        <w:t xml:space="preserve">. Fragonard’s paintings offer tangible evidence of this impact, depicting women as active participants in French society as opposed to objects to be looked upon for personal enjoyment or people tethered only to the context of the domestic sphere. By avoiding unnecessary nudity and refusing to only depict women as passive participants in male-dominated scenes, </w:t>
      </w:r>
      <w:r w:rsidR="00A62EE0">
        <w:rPr>
          <w:rFonts w:ascii="Times New Roman" w:hAnsi="Times New Roman" w:cs="Times New Roman"/>
        </w:rPr>
        <w:t xml:space="preserve">instead often featuring them as leading protagonists, </w:t>
      </w:r>
      <w:r w:rsidR="00886C4E">
        <w:rPr>
          <w:rFonts w:ascii="Times New Roman" w:hAnsi="Times New Roman" w:cs="Times New Roman"/>
        </w:rPr>
        <w:t>Fragonard reiterates the agency and individualism exercised by aristocratic women at the time.</w:t>
      </w:r>
      <w:r w:rsidR="00A62EE0">
        <w:rPr>
          <w:rFonts w:ascii="Times New Roman" w:hAnsi="Times New Roman" w:cs="Times New Roman"/>
        </w:rPr>
        <w:t xml:space="preserve"> </w:t>
      </w:r>
      <w:r w:rsidR="008060C9">
        <w:rPr>
          <w:rFonts w:ascii="Times New Roman" w:hAnsi="Times New Roman" w:cs="Times New Roman"/>
        </w:rPr>
        <w:t>Through</w:t>
      </w:r>
      <w:r w:rsidR="00A62EE0">
        <w:rPr>
          <w:rFonts w:ascii="Times New Roman" w:hAnsi="Times New Roman" w:cs="Times New Roman"/>
        </w:rPr>
        <w:t xml:space="preserve"> analyzing Fragonard’s paintings, one can </w:t>
      </w:r>
      <w:proofErr w:type="gramStart"/>
      <w:r w:rsidR="00A62EE0">
        <w:rPr>
          <w:rFonts w:ascii="Times New Roman" w:hAnsi="Times New Roman" w:cs="Times New Roman"/>
        </w:rPr>
        <w:t>see clearly</w:t>
      </w:r>
      <w:proofErr w:type="gramEnd"/>
      <w:r w:rsidR="00A62EE0">
        <w:rPr>
          <w:rFonts w:ascii="Times New Roman" w:hAnsi="Times New Roman" w:cs="Times New Roman"/>
        </w:rPr>
        <w:t xml:space="preserve"> that in this time in history in which women were granted a glimpse of freedom and equality, they did not squander it, but instead demonstrated their intellect, wit, and competence with grace and refinement.</w:t>
      </w:r>
    </w:p>
    <w:p w14:paraId="61287579" w14:textId="77777777" w:rsidR="00070FBD" w:rsidRDefault="00070FBD" w:rsidP="00E612EA">
      <w:pPr>
        <w:spacing w:line="480" w:lineRule="auto"/>
        <w:rPr>
          <w:rFonts w:ascii="Times New Roman" w:hAnsi="Times New Roman" w:cs="Times New Roman"/>
        </w:rPr>
      </w:pPr>
    </w:p>
    <w:p w14:paraId="018887A3" w14:textId="77777777" w:rsidR="00070FBD" w:rsidRDefault="00070FBD" w:rsidP="00E612EA">
      <w:pPr>
        <w:spacing w:line="480" w:lineRule="auto"/>
        <w:rPr>
          <w:rFonts w:ascii="Times New Roman" w:hAnsi="Times New Roman" w:cs="Times New Roman"/>
        </w:rPr>
      </w:pPr>
    </w:p>
    <w:p w14:paraId="6FF1B54B" w14:textId="77777777" w:rsidR="00700B9F" w:rsidRDefault="00700B9F" w:rsidP="00E612EA">
      <w:pPr>
        <w:spacing w:line="480" w:lineRule="auto"/>
        <w:rPr>
          <w:rFonts w:ascii="Times New Roman" w:hAnsi="Times New Roman" w:cs="Times New Roman"/>
        </w:rPr>
      </w:pPr>
    </w:p>
    <w:p w14:paraId="3AFDDE5E" w14:textId="77777777" w:rsidR="00C77DE6" w:rsidRPr="00C77DE6" w:rsidRDefault="00927FFD" w:rsidP="00E612EA">
      <w:pPr>
        <w:spacing w:line="480" w:lineRule="auto"/>
        <w:rPr>
          <w:i/>
          <w:iCs/>
        </w:rPr>
      </w:pPr>
      <w:r w:rsidRPr="00C77DE6">
        <w:lastRenderedPageBreak/>
        <w:fldChar w:fldCharType="begin"/>
      </w:r>
      <w:r w:rsidRPr="00C77DE6">
        <w:instrText xml:space="preserve"> INCLUDEPICTURE "https://lh7-us.googleusercontent.com/aQoj7I8PiqphI3Os1PEjiDdCjM3MG4Y7K_2w3LfhGICUsaXRtX4pK6oAQ2GF6ga391-ldq61LRl_KcCh8W6zv-UR-oHbaCOGgckcJBn27YuXe8ZMH2zjmA2NGgH7gn5JaocM7hpEqxqL5O9D-L7sQQoo0A=s2048" \* MERGEFORMATINET </w:instrText>
      </w:r>
      <w:r w:rsidRPr="00C77DE6">
        <w:fldChar w:fldCharType="separate"/>
      </w:r>
      <w:r w:rsidRPr="00C77DE6">
        <w:rPr>
          <w:noProof/>
        </w:rPr>
        <w:drawing>
          <wp:inline distT="0" distB="0" distL="0" distR="0" wp14:anchorId="6FEC0188" wp14:editId="67C7BE3D">
            <wp:extent cx="3087445" cy="3811804"/>
            <wp:effectExtent l="0" t="0" r="0" b="0"/>
            <wp:docPr id="2013201131" name="Picture 2" descr="A painting of a person on a s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01131" name="Picture 2" descr="A painting of a person on a swing&#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0789" cy="3976432"/>
                    </a:xfrm>
                    <a:prstGeom prst="rect">
                      <a:avLst/>
                    </a:prstGeom>
                    <a:noFill/>
                    <a:ln>
                      <a:noFill/>
                    </a:ln>
                  </pic:spPr>
                </pic:pic>
              </a:graphicData>
            </a:graphic>
          </wp:inline>
        </w:drawing>
      </w:r>
      <w:r w:rsidRPr="00C77DE6">
        <w:fldChar w:fldCharType="end"/>
      </w:r>
      <w:r w:rsidR="00CD23C9" w:rsidRPr="00C77DE6">
        <w:rPr>
          <w:i/>
          <w:iCs/>
        </w:rPr>
        <w:t xml:space="preserve"> </w:t>
      </w:r>
    </w:p>
    <w:p w14:paraId="3361B0A1" w14:textId="77777777" w:rsidR="00700B9F" w:rsidRDefault="00CD23C9" w:rsidP="00E612EA">
      <w:pPr>
        <w:spacing w:line="480" w:lineRule="auto"/>
        <w:rPr>
          <w:rFonts w:ascii="Times New Roman" w:hAnsi="Times New Roman" w:cs="Times New Roman"/>
        </w:rPr>
      </w:pPr>
      <w:r w:rsidRPr="00C77DE6">
        <w:rPr>
          <w:rFonts w:ascii="Times New Roman" w:hAnsi="Times New Roman" w:cs="Times New Roman"/>
        </w:rPr>
        <w:t>Figure 1.</w:t>
      </w:r>
      <w:r w:rsidRPr="00C77DE6">
        <w:rPr>
          <w:i/>
          <w:iCs/>
        </w:rPr>
        <w:t xml:space="preserve">  </w:t>
      </w:r>
      <w:r w:rsidR="00927FFD" w:rsidRPr="00C77DE6">
        <w:rPr>
          <w:rFonts w:ascii="Times New Roman" w:hAnsi="Times New Roman" w:cs="Times New Roman"/>
          <w:i/>
          <w:iCs/>
        </w:rPr>
        <w:t xml:space="preserve">The Swing, </w:t>
      </w:r>
      <w:r w:rsidR="00927FFD" w:rsidRPr="00C77DE6">
        <w:rPr>
          <w:rFonts w:ascii="Times New Roman" w:hAnsi="Times New Roman" w:cs="Times New Roman"/>
        </w:rPr>
        <w:t>Fragonard, 1767, oil on</w:t>
      </w:r>
      <w:r w:rsidRPr="00C77DE6">
        <w:rPr>
          <w:rFonts w:ascii="Times New Roman" w:hAnsi="Times New Roman" w:cs="Times New Roman"/>
        </w:rPr>
        <w:t xml:space="preserve"> </w:t>
      </w:r>
      <w:r w:rsidR="00927FFD" w:rsidRPr="00C77DE6">
        <w:rPr>
          <w:rFonts w:ascii="Times New Roman" w:hAnsi="Times New Roman" w:cs="Times New Roman"/>
        </w:rPr>
        <w:t>canvas</w:t>
      </w:r>
      <w:r w:rsidRPr="00C77DE6">
        <w:rPr>
          <w:rFonts w:ascii="Times New Roman" w:hAnsi="Times New Roman" w:cs="Times New Roman"/>
        </w:rPr>
        <w:t>.</w:t>
      </w:r>
    </w:p>
    <w:p w14:paraId="392C6F6A" w14:textId="2FF3B489" w:rsidR="00C77DE6" w:rsidRPr="00C77DE6" w:rsidRDefault="00CD23C9" w:rsidP="00E612EA">
      <w:pPr>
        <w:spacing w:line="480" w:lineRule="auto"/>
        <w:rPr>
          <w:rFonts w:ascii="Times New Roman" w:hAnsi="Times New Roman" w:cs="Times New Roman"/>
        </w:rPr>
      </w:pPr>
      <w:r w:rsidRPr="00C77DE6">
        <w:rPr>
          <w:rFonts w:ascii="Times New Roman" w:hAnsi="Times New Roman" w:cs="Times New Roman"/>
          <w:noProof/>
        </w:rPr>
        <w:drawing>
          <wp:inline distT="0" distB="0" distL="0" distR="0" wp14:anchorId="3A3FAA76" wp14:editId="55BC0B53">
            <wp:extent cx="4051005" cy="3403104"/>
            <wp:effectExtent l="0" t="0" r="635" b="635"/>
            <wp:docPr id="840018760" name="Picture 1" descr="A painting of a person and two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018760" name="Picture 1" descr="A painting of a person and two childr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07714" cy="3450743"/>
                    </a:xfrm>
                    <a:prstGeom prst="rect">
                      <a:avLst/>
                    </a:prstGeom>
                  </pic:spPr>
                </pic:pic>
              </a:graphicData>
            </a:graphic>
          </wp:inline>
        </w:drawing>
      </w:r>
      <w:r w:rsidRPr="00C77DE6">
        <w:rPr>
          <w:rFonts w:ascii="Times New Roman" w:hAnsi="Times New Roman" w:cs="Times New Roman"/>
        </w:rPr>
        <w:t xml:space="preserve"> </w:t>
      </w:r>
    </w:p>
    <w:p w14:paraId="31F3C368" w14:textId="6A961CA3" w:rsidR="00927FFD" w:rsidRPr="00C77DE6" w:rsidRDefault="00CD23C9" w:rsidP="00E612EA">
      <w:pPr>
        <w:spacing w:line="480" w:lineRule="auto"/>
        <w:rPr>
          <w:rFonts w:ascii="Times New Roman" w:hAnsi="Times New Roman" w:cs="Times New Roman"/>
        </w:rPr>
      </w:pPr>
      <w:r w:rsidRPr="00C77DE6">
        <w:rPr>
          <w:rFonts w:ascii="Times New Roman" w:hAnsi="Times New Roman" w:cs="Times New Roman"/>
        </w:rPr>
        <w:t xml:space="preserve">Figure 2. </w:t>
      </w:r>
      <w:r w:rsidRPr="00C77DE6">
        <w:rPr>
          <w:rFonts w:ascii="Times New Roman" w:hAnsi="Times New Roman" w:cs="Times New Roman"/>
          <w:i/>
          <w:iCs/>
        </w:rPr>
        <w:t>The Musical Contest</w:t>
      </w:r>
      <w:r w:rsidRPr="00C77DE6">
        <w:rPr>
          <w:rFonts w:ascii="Times New Roman" w:hAnsi="Times New Roman" w:cs="Times New Roman"/>
        </w:rPr>
        <w:t>, Fragonard, 1754-1755, oil on canvas.</w:t>
      </w:r>
    </w:p>
    <w:p w14:paraId="6AF8A039" w14:textId="77777777" w:rsidR="00C77DE6" w:rsidRPr="00C77DE6" w:rsidRDefault="00C77DE6" w:rsidP="00E612EA">
      <w:pPr>
        <w:spacing w:line="480" w:lineRule="auto"/>
        <w:rPr>
          <w:rFonts w:ascii="Times New Roman" w:hAnsi="Times New Roman" w:cs="Times New Roman"/>
          <w:sz w:val="20"/>
          <w:szCs w:val="20"/>
        </w:rPr>
      </w:pPr>
    </w:p>
    <w:p w14:paraId="1DAB7D5F" w14:textId="77777777" w:rsidR="00C77DE6" w:rsidRDefault="00CD23C9" w:rsidP="00E612EA">
      <w:pPr>
        <w:spacing w:line="480" w:lineRule="auto"/>
        <w:rPr>
          <w:rFonts w:ascii="Times New Roman" w:hAnsi="Times New Roman" w:cs="Times New Roman"/>
        </w:rPr>
      </w:pPr>
      <w:r>
        <w:rPr>
          <w:rFonts w:ascii="Times New Roman" w:hAnsi="Times New Roman" w:cs="Times New Roman"/>
          <w:noProof/>
        </w:rPr>
        <w:drawing>
          <wp:inline distT="0" distB="0" distL="0" distR="0" wp14:anchorId="6DFB7182" wp14:editId="0A18664D">
            <wp:extent cx="4130936" cy="3388093"/>
            <wp:effectExtent l="0" t="0" r="0" b="3175"/>
            <wp:docPr id="505196599" name="Picture 2" descr="A painting of a person and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196599" name="Picture 2" descr="A painting of a person and a chil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8565" cy="3443561"/>
                    </a:xfrm>
                    <a:prstGeom prst="rect">
                      <a:avLst/>
                    </a:prstGeom>
                  </pic:spPr>
                </pic:pic>
              </a:graphicData>
            </a:graphic>
          </wp:inline>
        </w:drawing>
      </w:r>
      <w:r>
        <w:rPr>
          <w:rFonts w:ascii="Times New Roman" w:hAnsi="Times New Roman" w:cs="Times New Roman"/>
        </w:rPr>
        <w:t xml:space="preserve">  </w:t>
      </w:r>
    </w:p>
    <w:p w14:paraId="55126430" w14:textId="6133DCD3" w:rsidR="00927FFD" w:rsidRPr="00C77DE6" w:rsidRDefault="00CD23C9" w:rsidP="00E612EA">
      <w:pPr>
        <w:spacing w:line="480" w:lineRule="auto"/>
        <w:rPr>
          <w:rFonts w:ascii="Times New Roman" w:hAnsi="Times New Roman" w:cs="Times New Roman"/>
        </w:rPr>
      </w:pPr>
      <w:r w:rsidRPr="00C77DE6">
        <w:rPr>
          <w:rFonts w:ascii="Times New Roman" w:hAnsi="Times New Roman" w:cs="Times New Roman"/>
        </w:rPr>
        <w:t xml:space="preserve">Figure 3. </w:t>
      </w:r>
      <w:r w:rsidRPr="00C77DE6">
        <w:rPr>
          <w:rFonts w:ascii="Times New Roman" w:hAnsi="Times New Roman" w:cs="Times New Roman"/>
          <w:i/>
          <w:iCs/>
        </w:rPr>
        <w:t xml:space="preserve">The Desired Moment, </w:t>
      </w:r>
      <w:r w:rsidRPr="00C77DE6">
        <w:rPr>
          <w:rFonts w:ascii="Times New Roman" w:hAnsi="Times New Roman" w:cs="Times New Roman"/>
        </w:rPr>
        <w:t>Fragonard, 1755-1765, oil on canvas.</w:t>
      </w:r>
    </w:p>
    <w:p w14:paraId="69149822" w14:textId="77777777" w:rsidR="00927FFD" w:rsidRDefault="00927FFD" w:rsidP="00E612EA">
      <w:pPr>
        <w:spacing w:line="480" w:lineRule="auto"/>
        <w:rPr>
          <w:rFonts w:ascii="Times New Roman" w:hAnsi="Times New Roman" w:cs="Times New Roman"/>
        </w:rPr>
      </w:pPr>
    </w:p>
    <w:p w14:paraId="796C2857" w14:textId="77777777" w:rsidR="00C77DE6" w:rsidRDefault="00C77DE6" w:rsidP="00E612EA">
      <w:pPr>
        <w:spacing w:line="480" w:lineRule="auto"/>
        <w:rPr>
          <w:rFonts w:ascii="Times New Roman" w:hAnsi="Times New Roman" w:cs="Times New Roman"/>
        </w:rPr>
      </w:pPr>
      <w:r>
        <w:rPr>
          <w:rFonts w:ascii="Times New Roman" w:hAnsi="Times New Roman" w:cs="Times New Roman"/>
          <w:noProof/>
        </w:rPr>
        <w:drawing>
          <wp:inline distT="0" distB="0" distL="0" distR="0" wp14:anchorId="44265F33" wp14:editId="49B991E0">
            <wp:extent cx="4066391" cy="3258441"/>
            <wp:effectExtent l="0" t="0" r="0" b="5715"/>
            <wp:docPr id="1300633599" name="Picture 4" descr="A painting of two children kis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633599" name="Picture 4" descr="A painting of two children kiss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115453" cy="3297755"/>
                    </a:xfrm>
                    <a:prstGeom prst="rect">
                      <a:avLst/>
                    </a:prstGeom>
                  </pic:spPr>
                </pic:pic>
              </a:graphicData>
            </a:graphic>
          </wp:inline>
        </w:drawing>
      </w:r>
      <w:r>
        <w:rPr>
          <w:rFonts w:ascii="Times New Roman" w:hAnsi="Times New Roman" w:cs="Times New Roman"/>
        </w:rPr>
        <w:t xml:space="preserve"> </w:t>
      </w:r>
    </w:p>
    <w:p w14:paraId="38ABE2AE" w14:textId="3ADD0EF9" w:rsidR="00927FFD" w:rsidRPr="00C77DE6" w:rsidRDefault="00C77DE6" w:rsidP="00E612EA">
      <w:pPr>
        <w:spacing w:line="480" w:lineRule="auto"/>
        <w:rPr>
          <w:rFonts w:ascii="Times New Roman" w:hAnsi="Times New Roman" w:cs="Times New Roman"/>
        </w:rPr>
      </w:pPr>
      <w:r w:rsidRPr="00C77DE6">
        <w:rPr>
          <w:rFonts w:ascii="Times New Roman" w:hAnsi="Times New Roman" w:cs="Times New Roman"/>
        </w:rPr>
        <w:t>Figure 4.</w:t>
      </w:r>
      <w:r w:rsidR="00700B9F">
        <w:rPr>
          <w:rFonts w:ascii="Times New Roman" w:hAnsi="Times New Roman" w:cs="Times New Roman"/>
        </w:rPr>
        <w:t xml:space="preserve"> </w:t>
      </w:r>
      <w:r w:rsidRPr="00C77DE6">
        <w:rPr>
          <w:rFonts w:ascii="Times New Roman" w:hAnsi="Times New Roman" w:cs="Times New Roman"/>
          <w:i/>
          <w:iCs/>
        </w:rPr>
        <w:t xml:space="preserve">The Kiss, </w:t>
      </w:r>
      <w:r w:rsidRPr="00C77DE6">
        <w:rPr>
          <w:rFonts w:ascii="Times New Roman" w:hAnsi="Times New Roman" w:cs="Times New Roman"/>
        </w:rPr>
        <w:t>Fragonard, 1763-1778, oil on canvas</w:t>
      </w:r>
      <w:r>
        <w:rPr>
          <w:rFonts w:ascii="Times New Roman" w:hAnsi="Times New Roman" w:cs="Times New Roman"/>
        </w:rPr>
        <w:t>.</w:t>
      </w:r>
    </w:p>
    <w:p w14:paraId="36281E20" w14:textId="77777777" w:rsidR="00C77DE6" w:rsidRDefault="00927FFD" w:rsidP="00927FFD">
      <w:pPr>
        <w:spacing w:line="480" w:lineRule="auto"/>
      </w:pPr>
      <w:r>
        <w:lastRenderedPageBreak/>
        <w:fldChar w:fldCharType="begin"/>
      </w:r>
      <w:r>
        <w:instrText xml:space="preserve"> INCLUDEPICTURE "https://lh7-us.googleusercontent.com/AM4rn4JgmmUXZdHXpQ3a3XsGoIUkQs_AhtyRjkqYD8vCTKO_MGIK5ARymCZtPiOF2CK3tn7KeGuJQCPEObue0Fi-RNmiOj5ukzcG1xCImlZE-oSOBvMaDh4q0UnmlvvFk42IGdE6l7lpqV5fPvqYt2PWQA=s2048" \* MERGEFORMATINET </w:instrText>
      </w:r>
      <w:r>
        <w:fldChar w:fldCharType="separate"/>
      </w:r>
      <w:r>
        <w:rPr>
          <w:noProof/>
        </w:rPr>
        <w:drawing>
          <wp:inline distT="0" distB="0" distL="0" distR="0" wp14:anchorId="7BA9169E" wp14:editId="3E1E6435">
            <wp:extent cx="2692145" cy="3360868"/>
            <wp:effectExtent l="0" t="0" r="635" b="5080"/>
            <wp:docPr id="107788086" name="Picture 1" descr="A person sitting at a desk with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88086" name="Picture 1" descr="A person sitting at a desk with a do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4388" cy="3438572"/>
                    </a:xfrm>
                    <a:prstGeom prst="rect">
                      <a:avLst/>
                    </a:prstGeom>
                    <a:noFill/>
                    <a:ln>
                      <a:noFill/>
                    </a:ln>
                  </pic:spPr>
                </pic:pic>
              </a:graphicData>
            </a:graphic>
          </wp:inline>
        </w:drawing>
      </w:r>
      <w:r>
        <w:fldChar w:fldCharType="end"/>
      </w:r>
      <w:r>
        <w:t xml:space="preserve"> </w:t>
      </w:r>
    </w:p>
    <w:p w14:paraId="70EAD2E2" w14:textId="6A0D8097" w:rsidR="00927FFD" w:rsidRPr="00C77DE6" w:rsidRDefault="00C77DE6" w:rsidP="00927FFD">
      <w:pPr>
        <w:spacing w:line="480" w:lineRule="auto"/>
        <w:rPr>
          <w:rFonts w:ascii="Times New Roman" w:hAnsi="Times New Roman" w:cs="Times New Roman"/>
        </w:rPr>
      </w:pPr>
      <w:r w:rsidRPr="00C77DE6">
        <w:rPr>
          <w:rFonts w:ascii="Times New Roman" w:hAnsi="Times New Roman" w:cs="Times New Roman"/>
        </w:rPr>
        <w:t xml:space="preserve">Figure 5. </w:t>
      </w:r>
      <w:r w:rsidR="00927FFD" w:rsidRPr="00C77DE6">
        <w:rPr>
          <w:rFonts w:ascii="Times New Roman" w:hAnsi="Times New Roman" w:cs="Times New Roman"/>
          <w:i/>
          <w:iCs/>
        </w:rPr>
        <w:t xml:space="preserve">The Love Letter, </w:t>
      </w:r>
      <w:r w:rsidR="00927FFD" w:rsidRPr="00C77DE6">
        <w:rPr>
          <w:rFonts w:ascii="Times New Roman" w:hAnsi="Times New Roman" w:cs="Times New Roman"/>
        </w:rPr>
        <w:t>Fragonard, 1770s, oil on canvas</w:t>
      </w:r>
      <w:r w:rsidRPr="00C77DE6">
        <w:rPr>
          <w:rFonts w:ascii="Times New Roman" w:hAnsi="Times New Roman" w:cs="Times New Roman"/>
        </w:rPr>
        <w:t>.</w:t>
      </w:r>
    </w:p>
    <w:p w14:paraId="70D052B2" w14:textId="77777777" w:rsidR="00927FFD" w:rsidRDefault="00927FFD" w:rsidP="00E612EA">
      <w:pPr>
        <w:spacing w:line="480" w:lineRule="auto"/>
        <w:rPr>
          <w:rFonts w:ascii="Times New Roman" w:hAnsi="Times New Roman" w:cs="Times New Roman"/>
        </w:rPr>
      </w:pPr>
    </w:p>
    <w:p w14:paraId="4412A453" w14:textId="77777777" w:rsidR="00070FBD" w:rsidRDefault="00070FBD" w:rsidP="00E612EA">
      <w:pPr>
        <w:spacing w:line="480" w:lineRule="auto"/>
        <w:rPr>
          <w:rFonts w:ascii="Times New Roman" w:hAnsi="Times New Roman" w:cs="Times New Roman"/>
        </w:rPr>
      </w:pPr>
    </w:p>
    <w:p w14:paraId="439665F9" w14:textId="77777777" w:rsidR="00070FBD" w:rsidRDefault="00070FBD" w:rsidP="00E612EA">
      <w:pPr>
        <w:spacing w:line="480" w:lineRule="auto"/>
        <w:rPr>
          <w:rFonts w:ascii="Times New Roman" w:hAnsi="Times New Roman" w:cs="Times New Roman"/>
        </w:rPr>
      </w:pPr>
    </w:p>
    <w:p w14:paraId="65BA872E" w14:textId="77777777" w:rsidR="00070FBD" w:rsidRDefault="00070FBD" w:rsidP="00E612EA">
      <w:pPr>
        <w:spacing w:line="480" w:lineRule="auto"/>
        <w:rPr>
          <w:rFonts w:ascii="Times New Roman" w:hAnsi="Times New Roman" w:cs="Times New Roman"/>
        </w:rPr>
      </w:pPr>
    </w:p>
    <w:p w14:paraId="32584194" w14:textId="77777777" w:rsidR="00070FBD" w:rsidRDefault="00070FBD" w:rsidP="00E612EA">
      <w:pPr>
        <w:spacing w:line="480" w:lineRule="auto"/>
        <w:rPr>
          <w:rFonts w:ascii="Times New Roman" w:hAnsi="Times New Roman" w:cs="Times New Roman"/>
        </w:rPr>
      </w:pPr>
    </w:p>
    <w:p w14:paraId="5771E884" w14:textId="77777777" w:rsidR="00070FBD" w:rsidRDefault="00070FBD" w:rsidP="00E612EA">
      <w:pPr>
        <w:spacing w:line="480" w:lineRule="auto"/>
        <w:rPr>
          <w:rFonts w:ascii="Times New Roman" w:hAnsi="Times New Roman" w:cs="Times New Roman"/>
        </w:rPr>
      </w:pPr>
    </w:p>
    <w:p w14:paraId="2715DD3F" w14:textId="77777777" w:rsidR="00070FBD" w:rsidRDefault="00070FBD" w:rsidP="00E612EA">
      <w:pPr>
        <w:spacing w:line="480" w:lineRule="auto"/>
        <w:rPr>
          <w:rFonts w:ascii="Times New Roman" w:hAnsi="Times New Roman" w:cs="Times New Roman"/>
        </w:rPr>
      </w:pPr>
    </w:p>
    <w:p w14:paraId="76CAECAC" w14:textId="77777777" w:rsidR="00070FBD" w:rsidRDefault="00070FBD" w:rsidP="00E612EA">
      <w:pPr>
        <w:spacing w:line="480" w:lineRule="auto"/>
        <w:rPr>
          <w:rFonts w:ascii="Times New Roman" w:hAnsi="Times New Roman" w:cs="Times New Roman"/>
        </w:rPr>
      </w:pPr>
    </w:p>
    <w:p w14:paraId="62F6EE45" w14:textId="77777777" w:rsidR="00070FBD" w:rsidRDefault="00070FBD" w:rsidP="00E612EA">
      <w:pPr>
        <w:spacing w:line="480" w:lineRule="auto"/>
        <w:rPr>
          <w:rFonts w:ascii="Times New Roman" w:hAnsi="Times New Roman" w:cs="Times New Roman"/>
        </w:rPr>
      </w:pPr>
    </w:p>
    <w:p w14:paraId="79276EDF" w14:textId="77777777" w:rsidR="00070FBD" w:rsidRDefault="00070FBD" w:rsidP="00E612EA">
      <w:pPr>
        <w:spacing w:line="480" w:lineRule="auto"/>
        <w:rPr>
          <w:rFonts w:ascii="Times New Roman" w:hAnsi="Times New Roman" w:cs="Times New Roman"/>
        </w:rPr>
      </w:pPr>
    </w:p>
    <w:p w14:paraId="29FFCF2F" w14:textId="77777777" w:rsidR="00070FBD" w:rsidRDefault="00070FBD" w:rsidP="00E612EA">
      <w:pPr>
        <w:spacing w:line="480" w:lineRule="auto"/>
        <w:rPr>
          <w:rFonts w:ascii="Times New Roman" w:hAnsi="Times New Roman" w:cs="Times New Roman"/>
        </w:rPr>
      </w:pPr>
    </w:p>
    <w:p w14:paraId="63977CDE" w14:textId="77777777" w:rsidR="009A7FEB" w:rsidRDefault="009A7FEB" w:rsidP="0061168C">
      <w:pPr>
        <w:spacing w:line="480" w:lineRule="auto"/>
        <w:rPr>
          <w:rFonts w:ascii="Times New Roman" w:hAnsi="Times New Roman" w:cs="Times New Roman"/>
        </w:rPr>
      </w:pPr>
    </w:p>
    <w:p w14:paraId="63DBA086" w14:textId="01A1D163" w:rsidR="009A7FEB" w:rsidRDefault="009A7FEB" w:rsidP="0061168C">
      <w:pPr>
        <w:spacing w:line="480" w:lineRule="auto"/>
        <w:rPr>
          <w:rFonts w:ascii="Times New Roman" w:hAnsi="Times New Roman" w:cs="Times New Roman"/>
        </w:rPr>
      </w:pPr>
      <w:r>
        <w:rPr>
          <w:rFonts w:ascii="Times New Roman" w:hAnsi="Times New Roman" w:cs="Times New Roman"/>
        </w:rPr>
        <w:lastRenderedPageBreak/>
        <w:t>Works Cited</w:t>
      </w:r>
    </w:p>
    <w:p w14:paraId="55C1CA47" w14:textId="5DA187E1" w:rsidR="0061168C" w:rsidRDefault="0061168C" w:rsidP="0061168C">
      <w:pPr>
        <w:pStyle w:val="NormalWeb"/>
        <w:spacing w:before="0" w:beforeAutospacing="0" w:after="0" w:afterAutospacing="0" w:line="480" w:lineRule="auto"/>
        <w:ind w:left="720" w:hanging="720"/>
      </w:pPr>
      <w:r>
        <w:t xml:space="preserve">Andrei </w:t>
      </w:r>
      <w:proofErr w:type="spellStart"/>
      <w:r>
        <w:t>Molotiu</w:t>
      </w:r>
      <w:proofErr w:type="spellEnd"/>
      <w:r>
        <w:t xml:space="preserve">, and Paul Getty. </w:t>
      </w:r>
      <w:r>
        <w:rPr>
          <w:i/>
          <w:iCs/>
        </w:rPr>
        <w:t xml:space="preserve">Fragonard’s Allegories of </w:t>
      </w:r>
      <w:proofErr w:type="gramStart"/>
      <w:r>
        <w:rPr>
          <w:i/>
          <w:iCs/>
        </w:rPr>
        <w:t xml:space="preserve">Love </w:t>
      </w:r>
      <w:r>
        <w:t>.</w:t>
      </w:r>
      <w:proofErr w:type="gramEnd"/>
      <w:r>
        <w:t xml:space="preserve"> Los Angeles: J. Paul Getty Museum, 2007.</w:t>
      </w:r>
    </w:p>
    <w:p w14:paraId="716CB71C" w14:textId="0CCDC873" w:rsidR="0061168C" w:rsidRDefault="0061168C" w:rsidP="00731EBF">
      <w:pPr>
        <w:pStyle w:val="NormalWeb"/>
        <w:spacing w:before="0" w:beforeAutospacing="0" w:after="0" w:afterAutospacing="0" w:line="480" w:lineRule="auto"/>
        <w:ind w:left="720" w:hanging="720"/>
      </w:pPr>
      <w:proofErr w:type="spellStart"/>
      <w:r>
        <w:t>D’alleva</w:t>
      </w:r>
      <w:proofErr w:type="spellEnd"/>
      <w:r>
        <w:t xml:space="preserve">, Anne. </w:t>
      </w:r>
      <w:r>
        <w:rPr>
          <w:i/>
          <w:iCs/>
        </w:rPr>
        <w:t>Methods and Theories of Art History</w:t>
      </w:r>
      <w:r>
        <w:t>. London: Laurence King, 2005.</w:t>
      </w:r>
    </w:p>
    <w:p w14:paraId="7DD44387" w14:textId="1DDE9B91" w:rsidR="00731EBF" w:rsidRDefault="00731EBF" w:rsidP="00731EBF">
      <w:pPr>
        <w:pStyle w:val="NormalWeb"/>
        <w:spacing w:before="0" w:beforeAutospacing="0" w:after="0" w:afterAutospacing="0" w:line="480" w:lineRule="auto"/>
        <w:ind w:left="720" w:hanging="720"/>
      </w:pPr>
      <w:r>
        <w:t xml:space="preserve">Gere Mason, Amelia. </w:t>
      </w:r>
      <w:r>
        <w:rPr>
          <w:i/>
          <w:iCs/>
        </w:rPr>
        <w:t>Women of the French Salons.</w:t>
      </w:r>
      <w:r>
        <w:t xml:space="preserve"> </w:t>
      </w:r>
      <w:proofErr w:type="spellStart"/>
      <w:r>
        <w:t>Hardpress</w:t>
      </w:r>
      <w:proofErr w:type="spellEnd"/>
      <w:r>
        <w:t xml:space="preserve"> Ltd, 2013.</w:t>
      </w:r>
    </w:p>
    <w:p w14:paraId="0D0F1552" w14:textId="3588E28D" w:rsidR="0061168C" w:rsidRDefault="0061168C" w:rsidP="0061168C">
      <w:pPr>
        <w:pStyle w:val="NormalWeb"/>
        <w:spacing w:before="0" w:beforeAutospacing="0" w:after="0" w:afterAutospacing="0" w:line="480" w:lineRule="auto"/>
        <w:ind w:left="720" w:hanging="720"/>
      </w:pPr>
      <w:r>
        <w:t xml:space="preserve">Miamioh.edu. “9/28 Enlightenment and Rococo – Art188,” 2021. </w:t>
      </w:r>
      <w:hyperlink r:id="rId12" w:history="1">
        <w:r w:rsidRPr="00B13619">
          <w:rPr>
            <w:rStyle w:val="Hyperlink"/>
          </w:rPr>
          <w:t>https://art188.lib.miamioh.edu/18th-and-19th-century-art/1-enlightenment-and-rococo/</w:t>
        </w:r>
      </w:hyperlink>
      <w:r>
        <w:t>.</w:t>
      </w:r>
    </w:p>
    <w:p w14:paraId="060BA41F" w14:textId="571B7166" w:rsidR="0061168C" w:rsidRDefault="0061168C" w:rsidP="0061168C">
      <w:pPr>
        <w:pStyle w:val="NormalWeb"/>
        <w:spacing w:before="0" w:beforeAutospacing="0" w:after="0" w:afterAutospacing="0" w:line="480" w:lineRule="auto"/>
        <w:ind w:left="720" w:hanging="720"/>
      </w:pPr>
      <w:r>
        <w:t xml:space="preserve">Posner, Donald. “Mme. De Pompadour as a Patron of the Visual Arts.” </w:t>
      </w:r>
      <w:r>
        <w:rPr>
          <w:i/>
          <w:iCs/>
        </w:rPr>
        <w:t>The Art Bulletin</w:t>
      </w:r>
      <w:r>
        <w:t xml:space="preserve"> 72, no. 1 (March 1990): 74. https://doi.org/10.2307/3045718.</w:t>
      </w:r>
    </w:p>
    <w:p w14:paraId="52BCB773" w14:textId="77777777" w:rsidR="0061168C" w:rsidRDefault="0061168C" w:rsidP="0061168C">
      <w:pPr>
        <w:pStyle w:val="NormalWeb"/>
        <w:spacing w:before="0" w:beforeAutospacing="0" w:after="0" w:afterAutospacing="0" w:line="480" w:lineRule="auto"/>
        <w:ind w:left="720" w:hanging="720"/>
      </w:pPr>
      <w:proofErr w:type="spellStart"/>
      <w:r>
        <w:t>Saisselin</w:t>
      </w:r>
      <w:proofErr w:type="spellEnd"/>
      <w:r>
        <w:t>, Remy G. “</w:t>
      </w:r>
      <w:r>
        <w:rPr>
          <w:i/>
          <w:iCs/>
        </w:rPr>
        <w:t>The Rococo as a Dream of Happiness.</w:t>
      </w:r>
      <w:r>
        <w:t xml:space="preserve">” </w:t>
      </w:r>
      <w:r>
        <w:rPr>
          <w:i/>
          <w:iCs/>
        </w:rPr>
        <w:t>The Journal of Aesthetics and Art Criticism</w:t>
      </w:r>
      <w:r>
        <w:t xml:space="preserve"> 19, no. 2 (December 1, 1960): 145–52. https://doi.org/10.1111/1540_6245.jaac19.2.0145.</w:t>
      </w:r>
    </w:p>
    <w:p w14:paraId="7DD0F12F" w14:textId="77777777" w:rsidR="0061168C" w:rsidRDefault="0061168C" w:rsidP="0061168C">
      <w:pPr>
        <w:pStyle w:val="NormalWeb"/>
        <w:spacing w:before="0" w:beforeAutospacing="0" w:after="0" w:afterAutospacing="0" w:line="360" w:lineRule="auto"/>
        <w:ind w:left="720" w:hanging="720"/>
      </w:pPr>
    </w:p>
    <w:p w14:paraId="5427D632" w14:textId="77777777" w:rsidR="0086266B" w:rsidRPr="00F00E00" w:rsidRDefault="0086266B" w:rsidP="0061168C">
      <w:pPr>
        <w:spacing w:line="480" w:lineRule="auto"/>
        <w:rPr>
          <w:rFonts w:ascii="Times New Roman" w:hAnsi="Times New Roman" w:cs="Times New Roman"/>
        </w:rPr>
      </w:pPr>
    </w:p>
    <w:p w14:paraId="7C0FF984" w14:textId="57D52F30" w:rsidR="00F00E00" w:rsidRPr="00F00E00" w:rsidRDefault="00F00E00" w:rsidP="004E08B2">
      <w:pPr>
        <w:spacing w:line="480" w:lineRule="auto"/>
        <w:ind w:firstLine="720"/>
        <w:rPr>
          <w:rFonts w:ascii="Times New Roman" w:hAnsi="Times New Roman" w:cs="Times New Roman"/>
        </w:rPr>
      </w:pPr>
    </w:p>
    <w:sectPr w:rsidR="00F00E00" w:rsidRPr="00F00E00" w:rsidSect="008F33FF">
      <w:headerReference w:type="even" r:id="rId13"/>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6A852" w14:textId="77777777" w:rsidR="008F33FF" w:rsidRDefault="008F33FF" w:rsidP="00731EBF">
      <w:r>
        <w:separator/>
      </w:r>
    </w:p>
  </w:endnote>
  <w:endnote w:type="continuationSeparator" w:id="0">
    <w:p w14:paraId="4BFF9875" w14:textId="77777777" w:rsidR="008F33FF" w:rsidRDefault="008F33FF" w:rsidP="0073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w:altName w:val="Times New Roman"/>
    <w:panose1 w:val="0000050000000002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74145" w14:textId="77777777" w:rsidR="008F33FF" w:rsidRDefault="008F33FF" w:rsidP="00731EBF">
      <w:r>
        <w:separator/>
      </w:r>
    </w:p>
  </w:footnote>
  <w:footnote w:type="continuationSeparator" w:id="0">
    <w:p w14:paraId="3B3D42B0" w14:textId="77777777" w:rsidR="008F33FF" w:rsidRDefault="008F33FF" w:rsidP="00731EBF">
      <w:r>
        <w:continuationSeparator/>
      </w:r>
    </w:p>
  </w:footnote>
  <w:footnote w:id="1">
    <w:p w14:paraId="36C09328" w14:textId="7CEAFBCF" w:rsidR="00731EBF" w:rsidRPr="00731EBF" w:rsidRDefault="00731EBF" w:rsidP="00731EBF">
      <w:pPr>
        <w:pStyle w:val="FootnoteText"/>
        <w:spacing w:line="480" w:lineRule="auto"/>
        <w:rPr>
          <w:rFonts w:ascii="Times New Roman" w:hAnsi="Times New Roman" w:cs="Times New Roman"/>
          <w:sz w:val="24"/>
          <w:szCs w:val="24"/>
        </w:rPr>
      </w:pPr>
      <w:r w:rsidRPr="00731EBF">
        <w:rPr>
          <w:rStyle w:val="FootnoteReference"/>
          <w:rFonts w:ascii="Times New Roman" w:hAnsi="Times New Roman" w:cs="Times New Roman"/>
          <w:sz w:val="24"/>
          <w:szCs w:val="24"/>
        </w:rPr>
        <w:footnoteRef/>
      </w:r>
      <w:r w:rsidRPr="00731EBF">
        <w:rPr>
          <w:rFonts w:ascii="Times New Roman" w:hAnsi="Times New Roman" w:cs="Times New Roman"/>
          <w:sz w:val="24"/>
          <w:szCs w:val="24"/>
        </w:rPr>
        <w:t xml:space="preserve"> Andrei </w:t>
      </w:r>
      <w:proofErr w:type="spellStart"/>
      <w:r w:rsidRPr="00731EBF">
        <w:rPr>
          <w:rFonts w:ascii="Times New Roman" w:hAnsi="Times New Roman" w:cs="Times New Roman"/>
          <w:sz w:val="24"/>
          <w:szCs w:val="24"/>
        </w:rPr>
        <w:t>Molotiu</w:t>
      </w:r>
      <w:proofErr w:type="spellEnd"/>
      <w:r w:rsidRPr="00731EBF">
        <w:rPr>
          <w:rFonts w:ascii="Times New Roman" w:hAnsi="Times New Roman" w:cs="Times New Roman"/>
          <w:sz w:val="24"/>
          <w:szCs w:val="24"/>
        </w:rPr>
        <w:t xml:space="preserve"> and Paul Getty, </w:t>
      </w:r>
      <w:r w:rsidRPr="00731EBF">
        <w:rPr>
          <w:rFonts w:ascii="Times New Roman" w:hAnsi="Times New Roman" w:cs="Times New Roman"/>
          <w:i/>
          <w:iCs/>
          <w:sz w:val="24"/>
          <w:szCs w:val="24"/>
        </w:rPr>
        <w:t xml:space="preserve">Fragonard’s Allegories of Love </w:t>
      </w:r>
      <w:r w:rsidRPr="00731EBF">
        <w:rPr>
          <w:rFonts w:ascii="Times New Roman" w:hAnsi="Times New Roman" w:cs="Times New Roman"/>
          <w:sz w:val="24"/>
          <w:szCs w:val="24"/>
        </w:rPr>
        <w:t>(Los Angeles: J. Paul Getty Museum, 2007).</w:t>
      </w:r>
    </w:p>
  </w:footnote>
  <w:footnote w:id="2">
    <w:p w14:paraId="6D52FCBB" w14:textId="77777777" w:rsidR="00FE5606" w:rsidRDefault="00FE5606" w:rsidP="00FE5606">
      <w:pPr>
        <w:pStyle w:val="FootnoteText"/>
        <w:spacing w:line="480" w:lineRule="auto"/>
      </w:pPr>
      <w:r w:rsidRPr="00731EBF">
        <w:rPr>
          <w:rStyle w:val="FootnoteReference"/>
          <w:rFonts w:ascii="Times New Roman" w:hAnsi="Times New Roman" w:cs="Times New Roman"/>
          <w:sz w:val="24"/>
          <w:szCs w:val="24"/>
        </w:rPr>
        <w:footnoteRef/>
      </w:r>
      <w:r w:rsidRPr="00731EBF">
        <w:rPr>
          <w:rFonts w:ascii="Times New Roman" w:hAnsi="Times New Roman" w:cs="Times New Roman"/>
          <w:sz w:val="24"/>
          <w:szCs w:val="24"/>
        </w:rPr>
        <w:t xml:space="preserve"> Andrei </w:t>
      </w:r>
      <w:proofErr w:type="spellStart"/>
      <w:r w:rsidRPr="00731EBF">
        <w:rPr>
          <w:rFonts w:ascii="Times New Roman" w:hAnsi="Times New Roman" w:cs="Times New Roman"/>
          <w:sz w:val="24"/>
          <w:szCs w:val="24"/>
        </w:rPr>
        <w:t>Molotiu</w:t>
      </w:r>
      <w:proofErr w:type="spellEnd"/>
      <w:r w:rsidRPr="00731EBF">
        <w:rPr>
          <w:rFonts w:ascii="Times New Roman" w:hAnsi="Times New Roman" w:cs="Times New Roman"/>
          <w:sz w:val="24"/>
          <w:szCs w:val="24"/>
        </w:rPr>
        <w:t xml:space="preserve"> and Paul Getty, </w:t>
      </w:r>
      <w:r w:rsidRPr="00731EBF">
        <w:rPr>
          <w:rFonts w:ascii="Times New Roman" w:hAnsi="Times New Roman" w:cs="Times New Roman"/>
          <w:i/>
          <w:iCs/>
          <w:sz w:val="24"/>
          <w:szCs w:val="24"/>
        </w:rPr>
        <w:t xml:space="preserve">Fragonard’s Allegories of Love </w:t>
      </w:r>
      <w:r w:rsidRPr="00731EBF">
        <w:rPr>
          <w:rFonts w:ascii="Times New Roman" w:hAnsi="Times New Roman" w:cs="Times New Roman"/>
          <w:sz w:val="24"/>
          <w:szCs w:val="24"/>
        </w:rPr>
        <w:t>(Los Angeles: J. Paul Getty Museum, 2007).</w:t>
      </w:r>
    </w:p>
  </w:footnote>
  <w:footnote w:id="3">
    <w:p w14:paraId="76A29FFA" w14:textId="77777777" w:rsidR="00FE5606" w:rsidRDefault="00FE5606" w:rsidP="00FE5606">
      <w:pPr>
        <w:pStyle w:val="FootnoteText"/>
        <w:spacing w:line="480" w:lineRule="auto"/>
      </w:pPr>
      <w:r>
        <w:rPr>
          <w:rStyle w:val="FootnoteReference"/>
        </w:rPr>
        <w:footnoteRef/>
      </w:r>
      <w:r>
        <w:t xml:space="preserve"> </w:t>
      </w:r>
      <w:r w:rsidRPr="00C77DE6">
        <w:rPr>
          <w:rFonts w:ascii="Times New Roman" w:hAnsi="Times New Roman" w:cs="Times New Roman"/>
          <w:sz w:val="24"/>
          <w:szCs w:val="24"/>
        </w:rPr>
        <w:t xml:space="preserve">Anne </w:t>
      </w:r>
      <w:proofErr w:type="spellStart"/>
      <w:r w:rsidRPr="00C77DE6">
        <w:rPr>
          <w:rFonts w:ascii="Times New Roman" w:hAnsi="Times New Roman" w:cs="Times New Roman"/>
          <w:sz w:val="24"/>
          <w:szCs w:val="24"/>
        </w:rPr>
        <w:t>D’alleva</w:t>
      </w:r>
      <w:proofErr w:type="spellEnd"/>
      <w:r w:rsidRPr="00C77DE6">
        <w:rPr>
          <w:rFonts w:ascii="Times New Roman" w:hAnsi="Times New Roman" w:cs="Times New Roman"/>
          <w:sz w:val="24"/>
          <w:szCs w:val="24"/>
        </w:rPr>
        <w:t xml:space="preserve">, </w:t>
      </w:r>
      <w:r w:rsidRPr="00C77DE6">
        <w:rPr>
          <w:rFonts w:ascii="Times New Roman" w:hAnsi="Times New Roman" w:cs="Times New Roman"/>
          <w:i/>
          <w:iCs/>
          <w:sz w:val="24"/>
          <w:szCs w:val="24"/>
        </w:rPr>
        <w:t>Methods and Theories of Art History</w:t>
      </w:r>
      <w:r w:rsidRPr="00C77DE6">
        <w:rPr>
          <w:rFonts w:ascii="Times New Roman" w:hAnsi="Times New Roman" w:cs="Times New Roman"/>
          <w:sz w:val="24"/>
          <w:szCs w:val="24"/>
        </w:rPr>
        <w:t xml:space="preserve"> (London: Laurence King, 2005).</w:t>
      </w:r>
    </w:p>
  </w:footnote>
  <w:footnote w:id="4">
    <w:p w14:paraId="19C99C6A" w14:textId="6682443B" w:rsidR="00731EBF" w:rsidRPr="00731EBF" w:rsidRDefault="00731EBF" w:rsidP="00731EBF">
      <w:pPr>
        <w:pStyle w:val="FootnoteText"/>
        <w:spacing w:line="480" w:lineRule="auto"/>
        <w:rPr>
          <w:rFonts w:ascii="Times New Roman" w:hAnsi="Times New Roman" w:cs="Times New Roman"/>
          <w:sz w:val="24"/>
          <w:szCs w:val="24"/>
        </w:rPr>
      </w:pPr>
      <w:r w:rsidRPr="00731EBF">
        <w:rPr>
          <w:rStyle w:val="FootnoteReference"/>
          <w:rFonts w:ascii="Times New Roman" w:hAnsi="Times New Roman" w:cs="Times New Roman"/>
          <w:sz w:val="24"/>
          <w:szCs w:val="24"/>
        </w:rPr>
        <w:footnoteRef/>
      </w:r>
      <w:r w:rsidRPr="00731EBF">
        <w:rPr>
          <w:rFonts w:ascii="Times New Roman" w:hAnsi="Times New Roman" w:cs="Times New Roman"/>
          <w:sz w:val="24"/>
          <w:szCs w:val="24"/>
        </w:rPr>
        <w:t xml:space="preserve"> “9/28 Enlightenment and Rococo – Art188,” Miamioh.edu, 2021, </w:t>
      </w:r>
      <w:hyperlink r:id="rId1" w:history="1">
        <w:r w:rsidRPr="00731EBF">
          <w:rPr>
            <w:rStyle w:val="Hyperlink"/>
            <w:rFonts w:ascii="Times New Roman" w:hAnsi="Times New Roman" w:cs="Times New Roman"/>
            <w:sz w:val="24"/>
            <w:szCs w:val="24"/>
          </w:rPr>
          <w:t>https://art188.lib.miamioh.edu/18th-and-19th-century-art/1-enlightenment-and-rococo/</w:t>
        </w:r>
      </w:hyperlink>
      <w:r w:rsidRPr="00731EBF">
        <w:rPr>
          <w:rFonts w:ascii="Times New Roman" w:hAnsi="Times New Roman" w:cs="Times New Roman"/>
          <w:sz w:val="24"/>
          <w:szCs w:val="24"/>
        </w:rPr>
        <w:t>.</w:t>
      </w:r>
    </w:p>
  </w:footnote>
  <w:footnote w:id="5">
    <w:p w14:paraId="1D21D1D9" w14:textId="6F6D13A3" w:rsidR="00731EBF" w:rsidRDefault="00731EBF" w:rsidP="00731EBF">
      <w:pPr>
        <w:pStyle w:val="FootnoteText"/>
        <w:spacing w:line="480" w:lineRule="auto"/>
      </w:pPr>
      <w:r w:rsidRPr="00731EBF">
        <w:rPr>
          <w:rStyle w:val="FootnoteReference"/>
          <w:rFonts w:ascii="Times New Roman" w:hAnsi="Times New Roman" w:cs="Times New Roman"/>
          <w:sz w:val="24"/>
          <w:szCs w:val="24"/>
        </w:rPr>
        <w:footnoteRef/>
      </w:r>
      <w:r w:rsidRPr="00731EBF">
        <w:rPr>
          <w:rFonts w:ascii="Times New Roman" w:hAnsi="Times New Roman" w:cs="Times New Roman"/>
          <w:sz w:val="24"/>
          <w:szCs w:val="24"/>
        </w:rPr>
        <w:t xml:space="preserve"> Remy G. </w:t>
      </w:r>
      <w:proofErr w:type="spellStart"/>
      <w:r w:rsidRPr="00731EBF">
        <w:rPr>
          <w:rFonts w:ascii="Times New Roman" w:hAnsi="Times New Roman" w:cs="Times New Roman"/>
          <w:sz w:val="24"/>
          <w:szCs w:val="24"/>
        </w:rPr>
        <w:t>Saisselin</w:t>
      </w:r>
      <w:proofErr w:type="spellEnd"/>
      <w:r w:rsidRPr="00731EBF">
        <w:rPr>
          <w:rFonts w:ascii="Times New Roman" w:hAnsi="Times New Roman" w:cs="Times New Roman"/>
          <w:sz w:val="24"/>
          <w:szCs w:val="24"/>
        </w:rPr>
        <w:t>, “</w:t>
      </w:r>
      <w:r w:rsidRPr="00731EBF">
        <w:rPr>
          <w:rFonts w:ascii="Times New Roman" w:hAnsi="Times New Roman" w:cs="Times New Roman"/>
          <w:i/>
          <w:iCs/>
          <w:sz w:val="24"/>
          <w:szCs w:val="24"/>
        </w:rPr>
        <w:t>The Rococo as a Dream of Happiness,</w:t>
      </w:r>
      <w:r w:rsidRPr="00731EBF">
        <w:rPr>
          <w:rFonts w:ascii="Times New Roman" w:hAnsi="Times New Roman" w:cs="Times New Roman"/>
          <w:sz w:val="24"/>
          <w:szCs w:val="24"/>
        </w:rPr>
        <w:t xml:space="preserve">” </w:t>
      </w:r>
      <w:r w:rsidRPr="00731EBF">
        <w:rPr>
          <w:rFonts w:ascii="Times New Roman" w:hAnsi="Times New Roman" w:cs="Times New Roman"/>
          <w:i/>
          <w:iCs/>
          <w:sz w:val="24"/>
          <w:szCs w:val="24"/>
        </w:rPr>
        <w:t>The Journal of Aesthetics and Art Criticism</w:t>
      </w:r>
      <w:r w:rsidRPr="00731EBF">
        <w:rPr>
          <w:rFonts w:ascii="Times New Roman" w:hAnsi="Times New Roman" w:cs="Times New Roman"/>
          <w:sz w:val="24"/>
          <w:szCs w:val="24"/>
        </w:rPr>
        <w:t xml:space="preserve"> 19, no. 2 (December 1, 1960): 145–52, </w:t>
      </w:r>
      <w:hyperlink r:id="rId2" w:history="1">
        <w:r w:rsidRPr="00731EBF">
          <w:rPr>
            <w:rStyle w:val="Hyperlink"/>
            <w:rFonts w:ascii="Times New Roman" w:hAnsi="Times New Roman" w:cs="Times New Roman"/>
            <w:sz w:val="24"/>
            <w:szCs w:val="24"/>
          </w:rPr>
          <w:t>https://doi.org/10.1111/1540_6245.jaac19.2.0145</w:t>
        </w:r>
      </w:hyperlink>
      <w:r w:rsidRPr="00731EBF">
        <w:rPr>
          <w:rFonts w:ascii="Times New Roman" w:hAnsi="Times New Roman" w:cs="Times New Roman"/>
          <w:sz w:val="24"/>
          <w:szCs w:val="24"/>
        </w:rPr>
        <w:t>.</w:t>
      </w:r>
    </w:p>
  </w:footnote>
  <w:footnote w:id="6">
    <w:p w14:paraId="0B1B34F4" w14:textId="65E77D59" w:rsidR="00731EBF" w:rsidRPr="00731EBF" w:rsidRDefault="00731EBF" w:rsidP="00731EBF">
      <w:pPr>
        <w:pStyle w:val="FootnoteText"/>
        <w:spacing w:line="480" w:lineRule="auto"/>
        <w:rPr>
          <w:rFonts w:ascii="Times New Roman" w:hAnsi="Times New Roman" w:cs="Times New Roman"/>
          <w:sz w:val="24"/>
          <w:szCs w:val="24"/>
        </w:rPr>
      </w:pPr>
      <w:r w:rsidRPr="00731EBF">
        <w:rPr>
          <w:rStyle w:val="FootnoteReference"/>
          <w:rFonts w:ascii="Times New Roman" w:hAnsi="Times New Roman" w:cs="Times New Roman"/>
          <w:sz w:val="24"/>
          <w:szCs w:val="24"/>
        </w:rPr>
        <w:footnoteRef/>
      </w:r>
      <w:r w:rsidRPr="00731EBF">
        <w:rPr>
          <w:rFonts w:ascii="Times New Roman" w:hAnsi="Times New Roman" w:cs="Times New Roman"/>
          <w:sz w:val="24"/>
          <w:szCs w:val="24"/>
        </w:rPr>
        <w:t xml:space="preserve"> “9/28 Enlightenment and Rococo – Art188,” Miamioh.edu, 2021, </w:t>
      </w:r>
      <w:hyperlink r:id="rId3" w:history="1">
        <w:r w:rsidRPr="00731EBF">
          <w:rPr>
            <w:rStyle w:val="Hyperlink"/>
            <w:rFonts w:ascii="Times New Roman" w:hAnsi="Times New Roman" w:cs="Times New Roman"/>
            <w:sz w:val="24"/>
            <w:szCs w:val="24"/>
          </w:rPr>
          <w:t>https://art188.lib.miamioh.edu/18th-and-19th-century-art/1-enlightenment-and-rococo/</w:t>
        </w:r>
      </w:hyperlink>
      <w:r w:rsidRPr="00731EBF">
        <w:rPr>
          <w:rFonts w:ascii="Times New Roman" w:hAnsi="Times New Roman" w:cs="Times New Roman"/>
          <w:sz w:val="24"/>
          <w:szCs w:val="24"/>
        </w:rPr>
        <w:t>.</w:t>
      </w:r>
    </w:p>
  </w:footnote>
  <w:footnote w:id="7">
    <w:p w14:paraId="0DB1F834" w14:textId="0150CB1C" w:rsidR="00731EBF" w:rsidRPr="00731EBF" w:rsidRDefault="00731EBF" w:rsidP="00731EBF">
      <w:pPr>
        <w:pStyle w:val="FootnoteText"/>
        <w:spacing w:line="480" w:lineRule="auto"/>
        <w:rPr>
          <w:rFonts w:ascii="Times New Roman" w:hAnsi="Times New Roman" w:cs="Times New Roman"/>
          <w:sz w:val="24"/>
          <w:szCs w:val="24"/>
        </w:rPr>
      </w:pPr>
      <w:r w:rsidRPr="00731EBF">
        <w:rPr>
          <w:rStyle w:val="FootnoteReference"/>
          <w:rFonts w:ascii="Times New Roman" w:hAnsi="Times New Roman" w:cs="Times New Roman"/>
          <w:sz w:val="24"/>
          <w:szCs w:val="24"/>
        </w:rPr>
        <w:footnoteRef/>
      </w:r>
      <w:r w:rsidRPr="00731EBF">
        <w:rPr>
          <w:rFonts w:ascii="Times New Roman" w:hAnsi="Times New Roman" w:cs="Times New Roman"/>
          <w:sz w:val="24"/>
          <w:szCs w:val="24"/>
        </w:rPr>
        <w:t xml:space="preserve"> Ibid.</w:t>
      </w:r>
    </w:p>
  </w:footnote>
  <w:footnote w:id="8">
    <w:p w14:paraId="2B25F78A" w14:textId="3A3AB48E" w:rsidR="00731EBF" w:rsidRDefault="00731EBF" w:rsidP="00731EBF">
      <w:pPr>
        <w:pStyle w:val="FootnoteText"/>
        <w:spacing w:line="480" w:lineRule="auto"/>
      </w:pPr>
      <w:r w:rsidRPr="00731EBF">
        <w:rPr>
          <w:rStyle w:val="FootnoteReference"/>
          <w:rFonts w:ascii="Times New Roman" w:hAnsi="Times New Roman" w:cs="Times New Roman"/>
          <w:sz w:val="24"/>
          <w:szCs w:val="24"/>
        </w:rPr>
        <w:footnoteRef/>
      </w:r>
      <w:r w:rsidRPr="00731EBF">
        <w:rPr>
          <w:rFonts w:ascii="Times New Roman" w:hAnsi="Times New Roman" w:cs="Times New Roman"/>
          <w:sz w:val="24"/>
          <w:szCs w:val="24"/>
        </w:rPr>
        <w:t xml:space="preserve"> Donald Posner, “Mme. De Pompadour as a Patron of the Visual Arts,” </w:t>
      </w:r>
      <w:r w:rsidRPr="00731EBF">
        <w:rPr>
          <w:rFonts w:ascii="Times New Roman" w:hAnsi="Times New Roman" w:cs="Times New Roman"/>
          <w:i/>
          <w:iCs/>
          <w:sz w:val="24"/>
          <w:szCs w:val="24"/>
        </w:rPr>
        <w:t>The Art Bulletin</w:t>
      </w:r>
      <w:r w:rsidRPr="00731EBF">
        <w:rPr>
          <w:rFonts w:ascii="Times New Roman" w:hAnsi="Times New Roman" w:cs="Times New Roman"/>
          <w:sz w:val="24"/>
          <w:szCs w:val="24"/>
        </w:rPr>
        <w:t xml:space="preserve"> 72, no. 1 (March 1990): 74, </w:t>
      </w:r>
      <w:hyperlink r:id="rId4" w:history="1">
        <w:r w:rsidRPr="00731EBF">
          <w:rPr>
            <w:rStyle w:val="Hyperlink"/>
            <w:rFonts w:ascii="Times New Roman" w:hAnsi="Times New Roman" w:cs="Times New Roman"/>
            <w:sz w:val="24"/>
            <w:szCs w:val="24"/>
          </w:rPr>
          <w:t>https://doi.org/10.2307/3045718</w:t>
        </w:r>
      </w:hyperlink>
      <w:r w:rsidRPr="00731EBF">
        <w:rPr>
          <w:rFonts w:ascii="Times New Roman" w:hAnsi="Times New Roman" w:cs="Times New Roman"/>
          <w:sz w:val="24"/>
          <w:szCs w:val="24"/>
        </w:rPr>
        <w:t>.</w:t>
      </w:r>
    </w:p>
  </w:footnote>
  <w:footnote w:id="9">
    <w:p w14:paraId="28956A4B" w14:textId="056A121B" w:rsidR="00731EBF" w:rsidRPr="00731EBF" w:rsidRDefault="00731EBF" w:rsidP="00731EBF">
      <w:pPr>
        <w:pStyle w:val="FootnoteText"/>
        <w:spacing w:line="480" w:lineRule="auto"/>
        <w:rPr>
          <w:rFonts w:ascii="Times New Roman" w:hAnsi="Times New Roman" w:cs="Times New Roman"/>
          <w:sz w:val="24"/>
          <w:szCs w:val="24"/>
        </w:rPr>
      </w:pPr>
      <w:r w:rsidRPr="00731EBF">
        <w:rPr>
          <w:rStyle w:val="FootnoteReference"/>
          <w:rFonts w:ascii="Times New Roman" w:hAnsi="Times New Roman" w:cs="Times New Roman"/>
          <w:sz w:val="24"/>
          <w:szCs w:val="24"/>
        </w:rPr>
        <w:footnoteRef/>
      </w:r>
      <w:r w:rsidRPr="00731EBF">
        <w:rPr>
          <w:rFonts w:ascii="Times New Roman" w:hAnsi="Times New Roman" w:cs="Times New Roman"/>
          <w:sz w:val="24"/>
          <w:szCs w:val="24"/>
        </w:rPr>
        <w:t xml:space="preserve"> Amelia Gere Mason, </w:t>
      </w:r>
      <w:r w:rsidRPr="00731EBF">
        <w:rPr>
          <w:rFonts w:ascii="Times New Roman" w:hAnsi="Times New Roman" w:cs="Times New Roman"/>
          <w:i/>
          <w:iCs/>
          <w:sz w:val="24"/>
          <w:szCs w:val="24"/>
        </w:rPr>
        <w:t>Women of the French Salons.</w:t>
      </w:r>
      <w:r w:rsidRPr="00731EBF">
        <w:rPr>
          <w:rFonts w:ascii="Times New Roman" w:hAnsi="Times New Roman" w:cs="Times New Roman"/>
          <w:sz w:val="24"/>
          <w:szCs w:val="24"/>
        </w:rPr>
        <w:t xml:space="preserve"> (</w:t>
      </w:r>
      <w:proofErr w:type="spellStart"/>
      <w:r w:rsidRPr="00731EBF">
        <w:rPr>
          <w:rFonts w:ascii="Times New Roman" w:hAnsi="Times New Roman" w:cs="Times New Roman"/>
          <w:sz w:val="24"/>
          <w:szCs w:val="24"/>
        </w:rPr>
        <w:t>Hardpress</w:t>
      </w:r>
      <w:proofErr w:type="spellEnd"/>
      <w:r w:rsidRPr="00731EBF">
        <w:rPr>
          <w:rFonts w:ascii="Times New Roman" w:hAnsi="Times New Roman" w:cs="Times New Roman"/>
          <w:sz w:val="24"/>
          <w:szCs w:val="24"/>
        </w:rPr>
        <w:t xml:space="preserve"> Ltd,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0211399"/>
      <w:docPartObj>
        <w:docPartGallery w:val="Page Numbers (Top of Page)"/>
        <w:docPartUnique/>
      </w:docPartObj>
    </w:sdtPr>
    <w:sdtContent>
      <w:p w14:paraId="0C664118" w14:textId="1363024A" w:rsidR="00CF669B" w:rsidRDefault="00CF669B" w:rsidP="009D4D5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C1BACA" w14:textId="77777777" w:rsidR="00CF669B" w:rsidRDefault="00CF669B" w:rsidP="00CF669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7475586"/>
      <w:docPartObj>
        <w:docPartGallery w:val="Page Numbers (Top of Page)"/>
        <w:docPartUnique/>
      </w:docPartObj>
    </w:sdtPr>
    <w:sdtContent>
      <w:p w14:paraId="25995025" w14:textId="2D043DB5" w:rsidR="00CF669B" w:rsidRDefault="00CF669B" w:rsidP="009D4D5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0B78FDE5" w14:textId="260B2A3F" w:rsidR="00CF669B" w:rsidRPr="00CF669B" w:rsidRDefault="00CF669B" w:rsidP="00CF669B">
    <w:pPr>
      <w:pStyle w:val="Header"/>
      <w:ind w:right="360"/>
      <w:rPr>
        <w:rFonts w:ascii="Times New Roman" w:hAnsi="Times New Roman" w:cs="Times New Roman"/>
      </w:rPr>
    </w:pPr>
    <w:r>
      <w:rPr>
        <w:rFonts w:ascii="Times New Roman" w:hAnsi="Times New Roman" w:cs="Times New Roman"/>
      </w:rPr>
      <w:tab/>
      <w:t xml:space="preserve">                                                                                                                                      </w:t>
    </w:r>
    <w:proofErr w:type="spellStart"/>
    <w:r w:rsidRPr="00CF669B">
      <w:rPr>
        <w:rFonts w:ascii="Times New Roman" w:hAnsi="Times New Roman" w:cs="Times New Roman"/>
      </w:rPr>
      <w:t>Ogorek</w:t>
    </w:r>
    <w:proofErr w:type="spellEnd"/>
  </w:p>
  <w:p w14:paraId="17B38F59" w14:textId="77777777" w:rsidR="00CF669B" w:rsidRDefault="00CF66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39"/>
    <w:rsid w:val="00070FBD"/>
    <w:rsid w:val="000872CB"/>
    <w:rsid w:val="000C6312"/>
    <w:rsid w:val="000E0D70"/>
    <w:rsid w:val="000F1853"/>
    <w:rsid w:val="000F7BAD"/>
    <w:rsid w:val="001E6973"/>
    <w:rsid w:val="00236ED3"/>
    <w:rsid w:val="00274251"/>
    <w:rsid w:val="00286ADD"/>
    <w:rsid w:val="002C1AFB"/>
    <w:rsid w:val="002E56AF"/>
    <w:rsid w:val="00334423"/>
    <w:rsid w:val="0035086A"/>
    <w:rsid w:val="003D4186"/>
    <w:rsid w:val="0041467D"/>
    <w:rsid w:val="00422DA5"/>
    <w:rsid w:val="004542FD"/>
    <w:rsid w:val="00472847"/>
    <w:rsid w:val="004967BC"/>
    <w:rsid w:val="004E08B2"/>
    <w:rsid w:val="004F29CF"/>
    <w:rsid w:val="00530761"/>
    <w:rsid w:val="0053531F"/>
    <w:rsid w:val="00573892"/>
    <w:rsid w:val="00577483"/>
    <w:rsid w:val="0058328D"/>
    <w:rsid w:val="00591441"/>
    <w:rsid w:val="00592C1C"/>
    <w:rsid w:val="005A18B8"/>
    <w:rsid w:val="005A5862"/>
    <w:rsid w:val="005C33C6"/>
    <w:rsid w:val="005C4C2A"/>
    <w:rsid w:val="0061168C"/>
    <w:rsid w:val="00633405"/>
    <w:rsid w:val="006F0B9C"/>
    <w:rsid w:val="006F600C"/>
    <w:rsid w:val="00700B9F"/>
    <w:rsid w:val="00731EBF"/>
    <w:rsid w:val="007522F8"/>
    <w:rsid w:val="00791260"/>
    <w:rsid w:val="008060C9"/>
    <w:rsid w:val="00810B31"/>
    <w:rsid w:val="0082051E"/>
    <w:rsid w:val="008620C7"/>
    <w:rsid w:val="0086266B"/>
    <w:rsid w:val="0086642E"/>
    <w:rsid w:val="00874C91"/>
    <w:rsid w:val="00886C4E"/>
    <w:rsid w:val="008F33FF"/>
    <w:rsid w:val="0090104F"/>
    <w:rsid w:val="00926B99"/>
    <w:rsid w:val="00927FFD"/>
    <w:rsid w:val="00995C2E"/>
    <w:rsid w:val="009A27BA"/>
    <w:rsid w:val="009A7FEB"/>
    <w:rsid w:val="009B2585"/>
    <w:rsid w:val="009D468D"/>
    <w:rsid w:val="00A422E6"/>
    <w:rsid w:val="00A62EE0"/>
    <w:rsid w:val="00AB0F9C"/>
    <w:rsid w:val="00AD24F7"/>
    <w:rsid w:val="00B60939"/>
    <w:rsid w:val="00BE2F91"/>
    <w:rsid w:val="00C76A96"/>
    <w:rsid w:val="00C77DE6"/>
    <w:rsid w:val="00CA48B2"/>
    <w:rsid w:val="00CD23C9"/>
    <w:rsid w:val="00CF574B"/>
    <w:rsid w:val="00CF669B"/>
    <w:rsid w:val="00D051DF"/>
    <w:rsid w:val="00D05A52"/>
    <w:rsid w:val="00D336C1"/>
    <w:rsid w:val="00D4439B"/>
    <w:rsid w:val="00DC0B4A"/>
    <w:rsid w:val="00E0558F"/>
    <w:rsid w:val="00E304C4"/>
    <w:rsid w:val="00E612EA"/>
    <w:rsid w:val="00E90FB7"/>
    <w:rsid w:val="00EB3618"/>
    <w:rsid w:val="00ED0214"/>
    <w:rsid w:val="00F00E00"/>
    <w:rsid w:val="00F41FD2"/>
    <w:rsid w:val="00F77668"/>
    <w:rsid w:val="00F80C54"/>
    <w:rsid w:val="00FA4B77"/>
    <w:rsid w:val="00FE5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3D024A"/>
  <w15:chartTrackingRefBased/>
  <w15:docId w15:val="{F24661F6-BE66-5042-8A5B-A383E7C4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939"/>
  </w:style>
  <w:style w:type="paragraph" w:styleId="Heading1">
    <w:name w:val="heading 1"/>
    <w:basedOn w:val="Normal"/>
    <w:next w:val="Normal"/>
    <w:link w:val="Heading1Char"/>
    <w:uiPriority w:val="9"/>
    <w:qFormat/>
    <w:rsid w:val="00B609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9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9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9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9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9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9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9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9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9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9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9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9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9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9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9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9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939"/>
    <w:rPr>
      <w:rFonts w:eastAsiaTheme="majorEastAsia" w:cstheme="majorBidi"/>
      <w:color w:val="272727" w:themeColor="text1" w:themeTint="D8"/>
    </w:rPr>
  </w:style>
  <w:style w:type="paragraph" w:styleId="Title">
    <w:name w:val="Title"/>
    <w:basedOn w:val="Normal"/>
    <w:next w:val="Normal"/>
    <w:link w:val="TitleChar"/>
    <w:uiPriority w:val="10"/>
    <w:qFormat/>
    <w:rsid w:val="00B6093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9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93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9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9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939"/>
    <w:rPr>
      <w:i/>
      <w:iCs/>
      <w:color w:val="404040" w:themeColor="text1" w:themeTint="BF"/>
    </w:rPr>
  </w:style>
  <w:style w:type="paragraph" w:styleId="ListParagraph">
    <w:name w:val="List Paragraph"/>
    <w:basedOn w:val="Normal"/>
    <w:uiPriority w:val="34"/>
    <w:qFormat/>
    <w:rsid w:val="00B60939"/>
    <w:pPr>
      <w:ind w:left="720"/>
      <w:contextualSpacing/>
    </w:pPr>
  </w:style>
  <w:style w:type="character" w:styleId="IntenseEmphasis">
    <w:name w:val="Intense Emphasis"/>
    <w:basedOn w:val="DefaultParagraphFont"/>
    <w:uiPriority w:val="21"/>
    <w:qFormat/>
    <w:rsid w:val="00B60939"/>
    <w:rPr>
      <w:i/>
      <w:iCs/>
      <w:color w:val="0F4761" w:themeColor="accent1" w:themeShade="BF"/>
    </w:rPr>
  </w:style>
  <w:style w:type="paragraph" w:styleId="IntenseQuote">
    <w:name w:val="Intense Quote"/>
    <w:basedOn w:val="Normal"/>
    <w:next w:val="Normal"/>
    <w:link w:val="IntenseQuoteChar"/>
    <w:uiPriority w:val="30"/>
    <w:qFormat/>
    <w:rsid w:val="00B609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939"/>
    <w:rPr>
      <w:i/>
      <w:iCs/>
      <w:color w:val="0F4761" w:themeColor="accent1" w:themeShade="BF"/>
    </w:rPr>
  </w:style>
  <w:style w:type="character" w:styleId="IntenseReference">
    <w:name w:val="Intense Reference"/>
    <w:basedOn w:val="DefaultParagraphFont"/>
    <w:uiPriority w:val="32"/>
    <w:qFormat/>
    <w:rsid w:val="00B60939"/>
    <w:rPr>
      <w:b/>
      <w:bCs/>
      <w:smallCaps/>
      <w:color w:val="0F4761" w:themeColor="accent1" w:themeShade="BF"/>
      <w:spacing w:val="5"/>
    </w:rPr>
  </w:style>
  <w:style w:type="paragraph" w:styleId="NormalWeb">
    <w:name w:val="Normal (Web)"/>
    <w:basedOn w:val="Normal"/>
    <w:uiPriority w:val="99"/>
    <w:semiHidden/>
    <w:unhideWhenUsed/>
    <w:rsid w:val="009A7FEB"/>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61168C"/>
    <w:rPr>
      <w:color w:val="0000FF"/>
      <w:u w:val="single"/>
    </w:rPr>
  </w:style>
  <w:style w:type="character" w:styleId="UnresolvedMention">
    <w:name w:val="Unresolved Mention"/>
    <w:basedOn w:val="DefaultParagraphFont"/>
    <w:uiPriority w:val="99"/>
    <w:semiHidden/>
    <w:unhideWhenUsed/>
    <w:rsid w:val="0061168C"/>
    <w:rPr>
      <w:color w:val="605E5C"/>
      <w:shd w:val="clear" w:color="auto" w:fill="E1DFDD"/>
    </w:rPr>
  </w:style>
  <w:style w:type="paragraph" w:styleId="FootnoteText">
    <w:name w:val="footnote text"/>
    <w:basedOn w:val="Normal"/>
    <w:link w:val="FootnoteTextChar"/>
    <w:uiPriority w:val="99"/>
    <w:semiHidden/>
    <w:unhideWhenUsed/>
    <w:rsid w:val="00731EBF"/>
    <w:rPr>
      <w:sz w:val="20"/>
      <w:szCs w:val="20"/>
    </w:rPr>
  </w:style>
  <w:style w:type="character" w:customStyle="1" w:styleId="FootnoteTextChar">
    <w:name w:val="Footnote Text Char"/>
    <w:basedOn w:val="DefaultParagraphFont"/>
    <w:link w:val="FootnoteText"/>
    <w:uiPriority w:val="99"/>
    <w:semiHidden/>
    <w:rsid w:val="00731EBF"/>
    <w:rPr>
      <w:sz w:val="20"/>
      <w:szCs w:val="20"/>
    </w:rPr>
  </w:style>
  <w:style w:type="character" w:styleId="FootnoteReference">
    <w:name w:val="footnote reference"/>
    <w:basedOn w:val="DefaultParagraphFont"/>
    <w:uiPriority w:val="99"/>
    <w:semiHidden/>
    <w:unhideWhenUsed/>
    <w:rsid w:val="00731EBF"/>
    <w:rPr>
      <w:vertAlign w:val="superscript"/>
    </w:rPr>
  </w:style>
  <w:style w:type="paragraph" w:styleId="Header">
    <w:name w:val="header"/>
    <w:basedOn w:val="Normal"/>
    <w:link w:val="HeaderChar"/>
    <w:uiPriority w:val="99"/>
    <w:unhideWhenUsed/>
    <w:rsid w:val="00CF669B"/>
    <w:pPr>
      <w:tabs>
        <w:tab w:val="center" w:pos="4680"/>
        <w:tab w:val="right" w:pos="9360"/>
      </w:tabs>
    </w:pPr>
  </w:style>
  <w:style w:type="character" w:customStyle="1" w:styleId="HeaderChar">
    <w:name w:val="Header Char"/>
    <w:basedOn w:val="DefaultParagraphFont"/>
    <w:link w:val="Header"/>
    <w:uiPriority w:val="99"/>
    <w:rsid w:val="00CF669B"/>
  </w:style>
  <w:style w:type="paragraph" w:styleId="Footer">
    <w:name w:val="footer"/>
    <w:basedOn w:val="Normal"/>
    <w:link w:val="FooterChar"/>
    <w:uiPriority w:val="99"/>
    <w:unhideWhenUsed/>
    <w:rsid w:val="00CF669B"/>
    <w:pPr>
      <w:tabs>
        <w:tab w:val="center" w:pos="4680"/>
        <w:tab w:val="right" w:pos="9360"/>
      </w:tabs>
    </w:pPr>
  </w:style>
  <w:style w:type="character" w:customStyle="1" w:styleId="FooterChar">
    <w:name w:val="Footer Char"/>
    <w:basedOn w:val="DefaultParagraphFont"/>
    <w:link w:val="Footer"/>
    <w:uiPriority w:val="99"/>
    <w:rsid w:val="00CF669B"/>
  </w:style>
  <w:style w:type="character" w:styleId="PageNumber">
    <w:name w:val="page number"/>
    <w:basedOn w:val="DefaultParagraphFont"/>
    <w:uiPriority w:val="99"/>
    <w:semiHidden/>
    <w:unhideWhenUsed/>
    <w:rsid w:val="00CF6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822415">
      <w:bodyDiv w:val="1"/>
      <w:marLeft w:val="0"/>
      <w:marRight w:val="0"/>
      <w:marTop w:val="0"/>
      <w:marBottom w:val="0"/>
      <w:divBdr>
        <w:top w:val="none" w:sz="0" w:space="0" w:color="auto"/>
        <w:left w:val="none" w:sz="0" w:space="0" w:color="auto"/>
        <w:bottom w:val="none" w:sz="0" w:space="0" w:color="auto"/>
        <w:right w:val="none" w:sz="0" w:space="0" w:color="auto"/>
      </w:divBdr>
      <w:divsChild>
        <w:div w:id="988291525">
          <w:marLeft w:val="-720"/>
          <w:marRight w:val="0"/>
          <w:marTop w:val="0"/>
          <w:marBottom w:val="0"/>
          <w:divBdr>
            <w:top w:val="none" w:sz="0" w:space="0" w:color="auto"/>
            <w:left w:val="none" w:sz="0" w:space="0" w:color="auto"/>
            <w:bottom w:val="none" w:sz="0" w:space="0" w:color="auto"/>
            <w:right w:val="none" w:sz="0" w:space="0" w:color="auto"/>
          </w:divBdr>
        </w:div>
      </w:divsChild>
    </w:div>
    <w:div w:id="709452182">
      <w:bodyDiv w:val="1"/>
      <w:marLeft w:val="0"/>
      <w:marRight w:val="0"/>
      <w:marTop w:val="0"/>
      <w:marBottom w:val="0"/>
      <w:divBdr>
        <w:top w:val="none" w:sz="0" w:space="0" w:color="auto"/>
        <w:left w:val="none" w:sz="0" w:space="0" w:color="auto"/>
        <w:bottom w:val="none" w:sz="0" w:space="0" w:color="auto"/>
        <w:right w:val="none" w:sz="0" w:space="0" w:color="auto"/>
      </w:divBdr>
      <w:divsChild>
        <w:div w:id="1974556285">
          <w:marLeft w:val="-720"/>
          <w:marRight w:val="0"/>
          <w:marTop w:val="0"/>
          <w:marBottom w:val="0"/>
          <w:divBdr>
            <w:top w:val="none" w:sz="0" w:space="0" w:color="auto"/>
            <w:left w:val="none" w:sz="0" w:space="0" w:color="auto"/>
            <w:bottom w:val="none" w:sz="0" w:space="0" w:color="auto"/>
            <w:right w:val="none" w:sz="0" w:space="0" w:color="auto"/>
          </w:divBdr>
        </w:div>
      </w:divsChild>
    </w:div>
    <w:div w:id="1060984231">
      <w:bodyDiv w:val="1"/>
      <w:marLeft w:val="0"/>
      <w:marRight w:val="0"/>
      <w:marTop w:val="0"/>
      <w:marBottom w:val="0"/>
      <w:divBdr>
        <w:top w:val="none" w:sz="0" w:space="0" w:color="auto"/>
        <w:left w:val="none" w:sz="0" w:space="0" w:color="auto"/>
        <w:bottom w:val="none" w:sz="0" w:space="0" w:color="auto"/>
        <w:right w:val="none" w:sz="0" w:space="0" w:color="auto"/>
      </w:divBdr>
    </w:div>
    <w:div w:id="1203206250">
      <w:bodyDiv w:val="1"/>
      <w:marLeft w:val="0"/>
      <w:marRight w:val="0"/>
      <w:marTop w:val="0"/>
      <w:marBottom w:val="0"/>
      <w:divBdr>
        <w:top w:val="none" w:sz="0" w:space="0" w:color="auto"/>
        <w:left w:val="none" w:sz="0" w:space="0" w:color="auto"/>
        <w:bottom w:val="none" w:sz="0" w:space="0" w:color="auto"/>
        <w:right w:val="none" w:sz="0" w:space="0" w:color="auto"/>
      </w:divBdr>
      <w:divsChild>
        <w:div w:id="1532302106">
          <w:marLeft w:val="-720"/>
          <w:marRight w:val="0"/>
          <w:marTop w:val="0"/>
          <w:marBottom w:val="0"/>
          <w:divBdr>
            <w:top w:val="none" w:sz="0" w:space="0" w:color="auto"/>
            <w:left w:val="none" w:sz="0" w:space="0" w:color="auto"/>
            <w:bottom w:val="none" w:sz="0" w:space="0" w:color="auto"/>
            <w:right w:val="none" w:sz="0" w:space="0" w:color="auto"/>
          </w:divBdr>
        </w:div>
      </w:divsChild>
    </w:div>
    <w:div w:id="1270116359">
      <w:bodyDiv w:val="1"/>
      <w:marLeft w:val="0"/>
      <w:marRight w:val="0"/>
      <w:marTop w:val="0"/>
      <w:marBottom w:val="0"/>
      <w:divBdr>
        <w:top w:val="none" w:sz="0" w:space="0" w:color="auto"/>
        <w:left w:val="none" w:sz="0" w:space="0" w:color="auto"/>
        <w:bottom w:val="none" w:sz="0" w:space="0" w:color="auto"/>
        <w:right w:val="none" w:sz="0" w:space="0" w:color="auto"/>
      </w:divBdr>
      <w:divsChild>
        <w:div w:id="1699306468">
          <w:marLeft w:val="-720"/>
          <w:marRight w:val="0"/>
          <w:marTop w:val="0"/>
          <w:marBottom w:val="0"/>
          <w:divBdr>
            <w:top w:val="none" w:sz="0" w:space="0" w:color="auto"/>
            <w:left w:val="none" w:sz="0" w:space="0" w:color="auto"/>
            <w:bottom w:val="none" w:sz="0" w:space="0" w:color="auto"/>
            <w:right w:val="none" w:sz="0" w:space="0" w:color="auto"/>
          </w:divBdr>
        </w:div>
      </w:divsChild>
    </w:div>
    <w:div w:id="1408190452">
      <w:bodyDiv w:val="1"/>
      <w:marLeft w:val="0"/>
      <w:marRight w:val="0"/>
      <w:marTop w:val="0"/>
      <w:marBottom w:val="0"/>
      <w:divBdr>
        <w:top w:val="none" w:sz="0" w:space="0" w:color="auto"/>
        <w:left w:val="none" w:sz="0" w:space="0" w:color="auto"/>
        <w:bottom w:val="none" w:sz="0" w:space="0" w:color="auto"/>
        <w:right w:val="none" w:sz="0" w:space="0" w:color="auto"/>
      </w:divBdr>
      <w:divsChild>
        <w:div w:id="1461073619">
          <w:marLeft w:val="-720"/>
          <w:marRight w:val="0"/>
          <w:marTop w:val="0"/>
          <w:marBottom w:val="0"/>
          <w:divBdr>
            <w:top w:val="none" w:sz="0" w:space="0" w:color="auto"/>
            <w:left w:val="none" w:sz="0" w:space="0" w:color="auto"/>
            <w:bottom w:val="none" w:sz="0" w:space="0" w:color="auto"/>
            <w:right w:val="none" w:sz="0" w:space="0" w:color="auto"/>
          </w:divBdr>
        </w:div>
      </w:divsChild>
    </w:div>
    <w:div w:id="1616251836">
      <w:bodyDiv w:val="1"/>
      <w:marLeft w:val="0"/>
      <w:marRight w:val="0"/>
      <w:marTop w:val="0"/>
      <w:marBottom w:val="0"/>
      <w:divBdr>
        <w:top w:val="none" w:sz="0" w:space="0" w:color="auto"/>
        <w:left w:val="none" w:sz="0" w:space="0" w:color="auto"/>
        <w:bottom w:val="none" w:sz="0" w:space="0" w:color="auto"/>
        <w:right w:val="none" w:sz="0" w:space="0" w:color="auto"/>
      </w:divBdr>
      <w:divsChild>
        <w:div w:id="118470900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rt188.lib.miamioh.edu/18th-and-19th-century-art/1-enlightenment-and-roco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art188.lib.miamioh.edu/18th-and-19th-century-art/1-enlightenment-and-rococo/" TargetMode="External"/><Relationship Id="rId2" Type="http://schemas.openxmlformats.org/officeDocument/2006/relationships/hyperlink" Target="https://doi.org/10.1111/1540_6245.jaac19.2.0145" TargetMode="External"/><Relationship Id="rId1" Type="http://schemas.openxmlformats.org/officeDocument/2006/relationships/hyperlink" Target="https://art188.lib.miamioh.edu/18th-and-19th-century-art/1-enlightenment-and-rococo/" TargetMode="External"/><Relationship Id="rId4" Type="http://schemas.openxmlformats.org/officeDocument/2006/relationships/hyperlink" Target="https://doi.org/10.2307/30457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8E57D-24AC-3740-ACC5-9AEFECF48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2534</Words>
  <Characters>14447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Ogorek, Charlotte (ogorekcl)</dc:creator>
  <cp:keywords/>
  <dc:description/>
  <cp:lastModifiedBy>Ogorek, Charlotte (ogorekcl)</cp:lastModifiedBy>
  <cp:revision>4</cp:revision>
  <cp:lastPrinted>2024-03-28T20:07:00Z</cp:lastPrinted>
  <dcterms:created xsi:type="dcterms:W3CDTF">2024-04-09T19:11:00Z</dcterms:created>
  <dcterms:modified xsi:type="dcterms:W3CDTF">2024-04-09T19:11:00Z</dcterms:modified>
</cp:coreProperties>
</file>