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Maleya Cruz </w:t>
      </w:r>
    </w:p>
    <w:p w:rsidR="00000000" w:rsidDel="00000000" w:rsidP="00000000" w:rsidRDefault="00000000" w:rsidRPr="00000000" w14:paraId="00000002">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Senior Thesis </w:t>
      </w:r>
    </w:p>
    <w:p w:rsidR="00000000" w:rsidDel="00000000" w:rsidP="00000000" w:rsidRDefault="00000000" w:rsidRPr="00000000" w14:paraId="00000003">
      <w:pPr>
        <w:pStyle w:val="Heading2"/>
        <w:keepNext w:val="0"/>
        <w:keepLines w:val="0"/>
        <w:spacing w:after="160" w:before="300" w:line="264" w:lineRule="auto"/>
        <w:jc w:val="center"/>
        <w:rPr>
          <w:rFonts w:ascii="Times New Roman" w:cs="Times New Roman" w:eastAsia="Times New Roman" w:hAnsi="Times New Roman"/>
          <w:sz w:val="24"/>
          <w:szCs w:val="24"/>
        </w:rPr>
      </w:pPr>
      <w:bookmarkStart w:colFirst="0" w:colLast="0" w:name="_2xtcd7xg6f13" w:id="0"/>
      <w:bookmarkEnd w:id="0"/>
      <w:r w:rsidDel="00000000" w:rsidR="00000000" w:rsidRPr="00000000">
        <w:rPr>
          <w:rFonts w:ascii="Times New Roman" w:cs="Times New Roman" w:eastAsia="Times New Roman" w:hAnsi="Times New Roman"/>
          <w:sz w:val="24"/>
          <w:szCs w:val="24"/>
          <w:rtl w:val="0"/>
        </w:rPr>
        <w:t xml:space="preserve">The Art of Unveiling: DeCamp’s Nude as a Sculptural Study</w:t>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spacing w:line="480" w:lineRule="auto"/>
        <w:ind w:firstLine="720"/>
        <w:rPr>
          <w:rFonts w:ascii="Times New Roman" w:cs="Times New Roman" w:eastAsia="Times New Roman" w:hAnsi="Times New Roman"/>
          <w:color w:val="0e101a"/>
          <w:sz w:val="24"/>
          <w:szCs w:val="24"/>
        </w:rPr>
      </w:pPr>
      <w:r w:rsidDel="00000000" w:rsidR="00000000" w:rsidRPr="00000000">
        <w:rPr>
          <w:rFonts w:ascii="Times New Roman" w:cs="Times New Roman" w:eastAsia="Times New Roman" w:hAnsi="Times New Roman"/>
          <w:color w:val="0e101a"/>
          <w:sz w:val="24"/>
          <w:szCs w:val="24"/>
          <w:rtl w:val="0"/>
        </w:rPr>
        <w:t xml:space="preserve">In the ever-evolving landscape of American art, Joseph Rodefer DeCamp stands as a complex and often underappreciated figure. Emerging in the late 19th century, DeCamp was both an inheritor of European academic tradition and a participant in the burgeoning American Impressionist movement. His nuanced approach to form, light, and the human figure distinguished him from many of his contemporaries. Merging Munich's practices with his sensibilities, his painting </w:t>
      </w:r>
      <w:r w:rsidDel="00000000" w:rsidR="00000000" w:rsidRPr="00000000">
        <w:rPr>
          <w:rFonts w:ascii="Times New Roman" w:cs="Times New Roman" w:eastAsia="Times New Roman" w:hAnsi="Times New Roman"/>
          <w:i w:val="1"/>
          <w:color w:val="0e101a"/>
          <w:sz w:val="24"/>
          <w:szCs w:val="24"/>
          <w:rtl w:val="0"/>
        </w:rPr>
        <w:t xml:space="preserve">Woman Drying Her Hair</w:t>
      </w:r>
      <w:r w:rsidDel="00000000" w:rsidR="00000000" w:rsidRPr="00000000">
        <w:rPr>
          <w:rFonts w:ascii="Times New Roman" w:cs="Times New Roman" w:eastAsia="Times New Roman" w:hAnsi="Times New Roman"/>
          <w:color w:val="0e101a"/>
          <w:sz w:val="24"/>
          <w:szCs w:val="24"/>
          <w:rtl w:val="0"/>
        </w:rPr>
        <w:t xml:space="preserve"> (1898), occupies a unique position—not only as a technical masterpiece but also as a contemplative study that blurs the line between a finished painting and a private exploration of artistic principles.</w:t>
      </w:r>
      <w:r w:rsidDel="00000000" w:rsidR="00000000" w:rsidRPr="00000000">
        <w:rPr>
          <w:rFonts w:ascii="Times New Roman" w:cs="Times New Roman" w:eastAsia="Times New Roman" w:hAnsi="Times New Roman"/>
          <w:color w:val="0e101a"/>
          <w:sz w:val="24"/>
          <w:szCs w:val="24"/>
          <w:vertAlign w:val="superscript"/>
        </w:rPr>
        <w:footnoteReference w:customMarkFollows="0" w:id="0"/>
      </w:r>
      <w:r w:rsidDel="00000000" w:rsidR="00000000" w:rsidRPr="00000000">
        <w:rPr>
          <w:rFonts w:ascii="Times New Roman" w:cs="Times New Roman" w:eastAsia="Times New Roman" w:hAnsi="Times New Roman"/>
          <w:color w:val="0e101a"/>
          <w:sz w:val="24"/>
          <w:szCs w:val="24"/>
          <w:rtl w:val="0"/>
        </w:rPr>
        <w:t xml:space="preserve"> The late 19th century was a period of heightened interest in the human form, as artists increasingly looked toward classical models and Western traditions. For DeCamp, drawing from human models was not just an exercise in studying anatomy; it was an opportunity to capture both the idealized and natural aspects of the human body. The influence of Frank Duveneck, another American artist who worked alongside, is apparent in DeCamp’s firm, confident handling of the figure and his use of light and shadow to model the form, techniques that Duveneck was known for. Through his study in Europe and mentorship provided by Duveneck, DeCamp refined his ability to portray the figure in a way that was both perpetually rigorous and resonant to anatomical paintings in America. While </w:t>
      </w:r>
      <w:r w:rsidDel="00000000" w:rsidR="00000000" w:rsidRPr="00000000">
        <w:rPr>
          <w:rFonts w:ascii="Times New Roman" w:cs="Times New Roman" w:eastAsia="Times New Roman" w:hAnsi="Times New Roman"/>
          <w:i w:val="1"/>
          <w:color w:val="0e101a"/>
          <w:sz w:val="24"/>
          <w:szCs w:val="24"/>
          <w:rtl w:val="0"/>
        </w:rPr>
        <w:t xml:space="preserve">Woman Drying Her Hair</w:t>
      </w:r>
      <w:r w:rsidDel="00000000" w:rsidR="00000000" w:rsidRPr="00000000">
        <w:rPr>
          <w:rFonts w:ascii="Times New Roman" w:cs="Times New Roman" w:eastAsia="Times New Roman" w:hAnsi="Times New Roman"/>
          <w:color w:val="0e101a"/>
          <w:sz w:val="24"/>
          <w:szCs w:val="24"/>
          <w:rtl w:val="0"/>
        </w:rPr>
        <w:t xml:space="preserve"> may appear at first glance to be a conventional nude, its composition, technique, and context suggest that DeCamp intended it as a deep investigation into form and style— a study rather than a narrative work. Through a synthesis of classical influence, compositional experimentation, and painterly focus, DeCamp uses this piece to assert his mastery over the academic nude while simultaneously subverting expectations of both subject and genre.</w:t>
      </w:r>
    </w:p>
    <w:p w:rsidR="00000000" w:rsidDel="00000000" w:rsidP="00000000" w:rsidRDefault="00000000" w:rsidRPr="00000000" w14:paraId="00000006">
      <w:pPr>
        <w:spacing w:line="480" w:lineRule="auto"/>
        <w:ind w:firstLine="720"/>
        <w:rPr>
          <w:rFonts w:ascii="Times New Roman" w:cs="Times New Roman" w:eastAsia="Times New Roman" w:hAnsi="Times New Roman"/>
          <w:color w:val="0e101a"/>
          <w:sz w:val="24"/>
          <w:szCs w:val="24"/>
        </w:rPr>
      </w:pPr>
      <w:r w:rsidDel="00000000" w:rsidR="00000000" w:rsidRPr="00000000">
        <w:rPr>
          <w:rFonts w:ascii="Times New Roman" w:cs="Times New Roman" w:eastAsia="Times New Roman" w:hAnsi="Times New Roman"/>
          <w:color w:val="0e101a"/>
          <w:sz w:val="24"/>
          <w:szCs w:val="24"/>
          <w:rtl w:val="0"/>
        </w:rPr>
        <w:t xml:space="preserve">Referring to the </w:t>
      </w:r>
      <w:r w:rsidDel="00000000" w:rsidR="00000000" w:rsidRPr="00000000">
        <w:rPr>
          <w:rFonts w:ascii="Times New Roman" w:cs="Times New Roman" w:eastAsia="Times New Roman" w:hAnsi="Times New Roman"/>
          <w:i w:val="1"/>
          <w:color w:val="0e101a"/>
          <w:sz w:val="24"/>
          <w:szCs w:val="24"/>
          <w:rtl w:val="0"/>
        </w:rPr>
        <w:t xml:space="preserve">Woman Drying her Hair</w:t>
      </w:r>
      <w:r w:rsidDel="00000000" w:rsidR="00000000" w:rsidRPr="00000000">
        <w:rPr>
          <w:rFonts w:ascii="Times New Roman" w:cs="Times New Roman" w:eastAsia="Times New Roman" w:hAnsi="Times New Roman"/>
          <w:color w:val="0e101a"/>
          <w:sz w:val="24"/>
          <w:szCs w:val="24"/>
          <w:rtl w:val="0"/>
        </w:rPr>
        <w:t xml:space="preserve"> (1898), DeCamp called his painting “the most complete and most representative of my works”</w:t>
      </w:r>
      <w:r w:rsidDel="00000000" w:rsidR="00000000" w:rsidRPr="00000000">
        <w:rPr>
          <w:rFonts w:ascii="Times New Roman" w:cs="Times New Roman" w:eastAsia="Times New Roman" w:hAnsi="Times New Roman"/>
          <w:color w:val="0e101a"/>
          <w:sz w:val="24"/>
          <w:szCs w:val="24"/>
          <w:vertAlign w:val="superscript"/>
        </w:rPr>
        <w:footnoteReference w:customMarkFollows="0" w:id="1"/>
      </w:r>
      <w:r w:rsidDel="00000000" w:rsidR="00000000" w:rsidRPr="00000000">
        <w:rPr>
          <w:rFonts w:ascii="Times New Roman" w:cs="Times New Roman" w:eastAsia="Times New Roman" w:hAnsi="Times New Roman"/>
          <w:color w:val="0e101a"/>
          <w:sz w:val="24"/>
          <w:szCs w:val="24"/>
          <w:rtl w:val="0"/>
        </w:rPr>
        <w:t xml:space="preserve">. It was exhibited at the Pennsylvania Academy of the Fine Arts in 1899 where it won the Temple Gold Medal. Amongst an international display of works, this DeCamp piece was chosen by the Jury for the Paris Exposition Universelle in 1900.</w:t>
      </w:r>
      <w:r w:rsidDel="00000000" w:rsidR="00000000" w:rsidRPr="00000000">
        <w:rPr>
          <w:rFonts w:ascii="Times New Roman" w:cs="Times New Roman" w:eastAsia="Times New Roman" w:hAnsi="Times New Roman"/>
          <w:color w:val="0e101a"/>
          <w:sz w:val="24"/>
          <w:szCs w:val="24"/>
          <w:vertAlign w:val="superscript"/>
        </w:rPr>
        <w:footnoteReference w:customMarkFollows="0" w:id="2"/>
      </w:r>
      <w:r w:rsidDel="00000000" w:rsidR="00000000" w:rsidRPr="00000000">
        <w:rPr>
          <w:rFonts w:ascii="Times New Roman" w:cs="Times New Roman" w:eastAsia="Times New Roman" w:hAnsi="Times New Roman"/>
          <w:color w:val="0e101a"/>
          <w:sz w:val="24"/>
          <w:szCs w:val="24"/>
          <w:rtl w:val="0"/>
        </w:rPr>
        <w:t xml:space="preserve"> At first glance, the painting recalls the compositional elegance of Renaissance and Baroque masters. The curvature of the woman’s back and the positioning of her arms suggest the golden spiral—an ancient method of creating visual harmony. Our eyes are drawn to the contrast of light between the woman's bicep and the dark space below. We then follow up on her arm which is seen through her hair, around her head, and down the nape of her back. Following the position of her body, the ‘spiral’ suggests that we continue looking farther down her back, towards her bottom, where we can get a sense of depth by her knee pulled away from us as the viewer.  Yet this mathematical underpinning argues more for academic exploration than for storytelling. There is no face, no setting, no narrative. Just form. Further supporting this idea is the bluish-green background that flattens any sense of depth, forcing the viewer’s attention to the surface of the paint itself. DeCamp invites us to examine technique over content. The brushwork is deliberate, yet loose in the background, tighter along the body’s curves. The lack of symbolic props or contextual details further indicates that this is not a historical or mythological nude—it is a painter’s nude. </w:t>
      </w:r>
    </w:p>
    <w:p w:rsidR="00000000" w:rsidDel="00000000" w:rsidP="00000000" w:rsidRDefault="00000000" w:rsidRPr="00000000" w14:paraId="00000007">
      <w:pPr>
        <w:spacing w:line="480" w:lineRule="auto"/>
        <w:ind w:firstLine="720"/>
        <w:rPr>
          <w:rFonts w:ascii="Times New Roman" w:cs="Times New Roman" w:eastAsia="Times New Roman" w:hAnsi="Times New Roman"/>
          <w:color w:val="0e101a"/>
          <w:sz w:val="24"/>
          <w:szCs w:val="24"/>
        </w:rPr>
      </w:pPr>
      <w:r w:rsidDel="00000000" w:rsidR="00000000" w:rsidRPr="00000000">
        <w:rPr>
          <w:rFonts w:ascii="Times New Roman" w:cs="Times New Roman" w:eastAsia="Times New Roman" w:hAnsi="Times New Roman"/>
          <w:color w:val="0e101a"/>
          <w:sz w:val="24"/>
          <w:szCs w:val="24"/>
          <w:rtl w:val="0"/>
        </w:rPr>
        <w:t xml:space="preserve">A comparison with his earlier work </w:t>
      </w:r>
      <w:r w:rsidDel="00000000" w:rsidR="00000000" w:rsidRPr="00000000">
        <w:rPr>
          <w:rFonts w:ascii="Times New Roman" w:cs="Times New Roman" w:eastAsia="Times New Roman" w:hAnsi="Times New Roman"/>
          <w:i w:val="1"/>
          <w:color w:val="0e101a"/>
          <w:sz w:val="24"/>
          <w:szCs w:val="24"/>
          <w:rtl w:val="0"/>
        </w:rPr>
        <w:t xml:space="preserve">Magdalen (1896)</w:t>
      </w:r>
      <w:r w:rsidDel="00000000" w:rsidR="00000000" w:rsidRPr="00000000">
        <w:rPr>
          <w:rFonts w:ascii="Times New Roman" w:cs="Times New Roman" w:eastAsia="Times New Roman" w:hAnsi="Times New Roman"/>
          <w:color w:val="0e101a"/>
          <w:sz w:val="24"/>
          <w:szCs w:val="24"/>
          <w:rtl w:val="0"/>
        </w:rPr>
        <w:t xml:space="preserve"> reinforces this point. The painting features a solitary female figure, often interpreted as Mary Magdalene, seated in an interior space bathed in soft, diffused light. The brushwork is refined and delicate, lending a sense of softness to the figure and her surroundings.</w:t>
      </w:r>
      <w:r w:rsidDel="00000000" w:rsidR="00000000" w:rsidRPr="00000000">
        <w:rPr>
          <w:rFonts w:ascii="Times New Roman" w:cs="Times New Roman" w:eastAsia="Times New Roman" w:hAnsi="Times New Roman"/>
          <w:color w:val="0e101a"/>
          <w:sz w:val="24"/>
          <w:szCs w:val="24"/>
          <w:vertAlign w:val="superscript"/>
        </w:rPr>
        <w:footnoteReference w:customMarkFollows="0" w:id="3"/>
      </w:r>
      <w:r w:rsidDel="00000000" w:rsidR="00000000" w:rsidRPr="00000000">
        <w:rPr>
          <w:rFonts w:ascii="Times New Roman" w:cs="Times New Roman" w:eastAsia="Times New Roman" w:hAnsi="Times New Roman"/>
          <w:color w:val="0e101a"/>
          <w:sz w:val="24"/>
          <w:szCs w:val="24"/>
          <w:rtl w:val="0"/>
        </w:rPr>
        <w:t xml:space="preserve"> The woman’s downward pose and relaxed posture suggest inner reflection or penance, evoking the traditional theme of the repentant Magdalene. However, it can be argued that the title </w:t>
      </w:r>
      <w:r w:rsidDel="00000000" w:rsidR="00000000" w:rsidRPr="00000000">
        <w:rPr>
          <w:rFonts w:ascii="Times New Roman" w:cs="Times New Roman" w:eastAsia="Times New Roman" w:hAnsi="Times New Roman"/>
          <w:i w:val="1"/>
          <w:color w:val="0e101a"/>
          <w:sz w:val="24"/>
          <w:szCs w:val="24"/>
          <w:rtl w:val="0"/>
        </w:rPr>
        <w:t xml:space="preserve">Magdalen</w:t>
      </w:r>
      <w:r w:rsidDel="00000000" w:rsidR="00000000" w:rsidRPr="00000000">
        <w:rPr>
          <w:rFonts w:ascii="Times New Roman" w:cs="Times New Roman" w:eastAsia="Times New Roman" w:hAnsi="Times New Roman"/>
          <w:color w:val="0e101a"/>
          <w:sz w:val="24"/>
          <w:szCs w:val="24"/>
          <w:rtl w:val="0"/>
        </w:rPr>
        <w:t xml:space="preserve"> was used as a way for the salon to accept a nude painting if there is a story, an implied character, and a religious undertone.</w:t>
      </w:r>
      <w:r w:rsidDel="00000000" w:rsidR="00000000" w:rsidRPr="00000000">
        <w:rPr>
          <w:rFonts w:ascii="Times New Roman" w:cs="Times New Roman" w:eastAsia="Times New Roman" w:hAnsi="Times New Roman"/>
          <w:color w:val="0e101a"/>
          <w:sz w:val="24"/>
          <w:szCs w:val="24"/>
          <w:vertAlign w:val="superscript"/>
        </w:rPr>
        <w:footnoteReference w:customMarkFollows="0" w:id="4"/>
      </w:r>
      <w:r w:rsidDel="00000000" w:rsidR="00000000" w:rsidRPr="00000000">
        <w:rPr>
          <w:rFonts w:ascii="Times New Roman" w:cs="Times New Roman" w:eastAsia="Times New Roman" w:hAnsi="Times New Roman"/>
          <w:color w:val="0e101a"/>
          <w:sz w:val="24"/>
          <w:szCs w:val="24"/>
          <w:rtl w:val="0"/>
        </w:rPr>
        <w:t xml:space="preserve"> But in </w:t>
      </w:r>
      <w:r w:rsidDel="00000000" w:rsidR="00000000" w:rsidRPr="00000000">
        <w:rPr>
          <w:rFonts w:ascii="Times New Roman" w:cs="Times New Roman" w:eastAsia="Times New Roman" w:hAnsi="Times New Roman"/>
          <w:i w:val="1"/>
          <w:color w:val="0e101a"/>
          <w:sz w:val="24"/>
          <w:szCs w:val="24"/>
          <w:rtl w:val="0"/>
        </w:rPr>
        <w:t xml:space="preserve">Woman Drying Her Hair</w:t>
      </w:r>
      <w:r w:rsidDel="00000000" w:rsidR="00000000" w:rsidRPr="00000000">
        <w:rPr>
          <w:rFonts w:ascii="Times New Roman" w:cs="Times New Roman" w:eastAsia="Times New Roman" w:hAnsi="Times New Roman"/>
          <w:color w:val="0e101a"/>
          <w:sz w:val="24"/>
          <w:szCs w:val="24"/>
          <w:rtl w:val="0"/>
        </w:rPr>
        <w:t xml:space="preserve">,  DeCamp disregarded the consequences that would fall on him and painted and exhibited the figure solely to explore structure, tone, and light.</w:t>
      </w:r>
    </w:p>
    <w:p w:rsidR="00000000" w:rsidDel="00000000" w:rsidP="00000000" w:rsidRDefault="00000000" w:rsidRPr="00000000" w14:paraId="00000008">
      <w:pPr>
        <w:spacing w:line="480" w:lineRule="auto"/>
        <w:ind w:firstLine="720"/>
        <w:rPr>
          <w:rFonts w:ascii="Times New Roman" w:cs="Times New Roman" w:eastAsia="Times New Roman" w:hAnsi="Times New Roman"/>
          <w:color w:val="0e101a"/>
          <w:sz w:val="24"/>
          <w:szCs w:val="24"/>
        </w:rPr>
      </w:pPr>
      <w:r w:rsidDel="00000000" w:rsidR="00000000" w:rsidRPr="00000000">
        <w:rPr>
          <w:rFonts w:ascii="Times New Roman" w:cs="Times New Roman" w:eastAsia="Times New Roman" w:hAnsi="Times New Roman"/>
          <w:color w:val="0e101a"/>
          <w:sz w:val="24"/>
          <w:szCs w:val="24"/>
          <w:rtl w:val="0"/>
        </w:rPr>
        <w:t xml:space="preserve">Born in 1858 in Cincinnati, DeCamp started to show his artistic interest at the age of twelve when he was simply gifted a tiny color box. He studied at the McMicken School of Design for five years, starting in 1873 when he was still in high school; before further refining his skills in Munich. But on October 17th, 1878, DeCamp and other Cincinnati artists Theodore Wendel and George Hopkins signed the matriculation book at the Royal Academy of Munich enrolling in </w:t>
      </w:r>
      <w:r w:rsidDel="00000000" w:rsidR="00000000" w:rsidRPr="00000000">
        <w:rPr>
          <w:rFonts w:ascii="Times New Roman" w:cs="Times New Roman" w:eastAsia="Times New Roman" w:hAnsi="Times New Roman"/>
          <w:i w:val="1"/>
          <w:color w:val="0e101a"/>
          <w:sz w:val="24"/>
          <w:szCs w:val="24"/>
          <w:rtl w:val="0"/>
        </w:rPr>
        <w:t xml:space="preserve">Naturklasse</w:t>
      </w:r>
      <w:r w:rsidDel="00000000" w:rsidR="00000000" w:rsidRPr="00000000">
        <w:rPr>
          <w:rFonts w:ascii="Times New Roman" w:cs="Times New Roman" w:eastAsia="Times New Roman" w:hAnsi="Times New Roman"/>
          <w:color w:val="0e101a"/>
          <w:sz w:val="24"/>
          <w:szCs w:val="24"/>
          <w:rtl w:val="0"/>
        </w:rPr>
        <w:t xml:space="preserve"> (life drawing class).</w:t>
      </w:r>
      <w:r w:rsidDel="00000000" w:rsidR="00000000" w:rsidRPr="00000000">
        <w:rPr>
          <w:rFonts w:ascii="Times New Roman" w:cs="Times New Roman" w:eastAsia="Times New Roman" w:hAnsi="Times New Roman"/>
          <w:color w:val="0e101a"/>
          <w:sz w:val="24"/>
          <w:szCs w:val="24"/>
          <w:vertAlign w:val="superscript"/>
        </w:rPr>
        <w:footnoteReference w:customMarkFollows="0" w:id="5"/>
      </w:r>
      <w:r w:rsidDel="00000000" w:rsidR="00000000" w:rsidRPr="00000000">
        <w:rPr>
          <w:rFonts w:ascii="Times New Roman" w:cs="Times New Roman" w:eastAsia="Times New Roman" w:hAnsi="Times New Roman"/>
          <w:color w:val="0e101a"/>
          <w:sz w:val="24"/>
          <w:szCs w:val="24"/>
          <w:rtl w:val="0"/>
        </w:rPr>
        <w:t xml:space="preserve"> His early passion lay in landscape painting—a genre he pursued presumingly before his studies abroad. In 1904, there was a fire in his studio that destroyed several hundred of his early paintings, including nearly all of his landscapes. </w:t>
      </w:r>
    </w:p>
    <w:p w:rsidR="00000000" w:rsidDel="00000000" w:rsidP="00000000" w:rsidRDefault="00000000" w:rsidRPr="00000000" w14:paraId="00000009">
      <w:pPr>
        <w:spacing w:line="480" w:lineRule="auto"/>
        <w:ind w:firstLine="720"/>
        <w:rPr>
          <w:rFonts w:ascii="Times New Roman" w:cs="Times New Roman" w:eastAsia="Times New Roman" w:hAnsi="Times New Roman"/>
          <w:color w:val="0e101a"/>
          <w:sz w:val="24"/>
          <w:szCs w:val="24"/>
        </w:rPr>
      </w:pPr>
      <w:r w:rsidDel="00000000" w:rsidR="00000000" w:rsidRPr="00000000">
        <w:rPr>
          <w:rFonts w:ascii="Times New Roman" w:cs="Times New Roman" w:eastAsia="Times New Roman" w:hAnsi="Times New Roman"/>
          <w:color w:val="0e101a"/>
          <w:sz w:val="24"/>
          <w:szCs w:val="24"/>
          <w:rtl w:val="0"/>
        </w:rPr>
        <w:t xml:space="preserve">Before the Civil War in 1860, American painting had received influences from Germany, France, and England. American artists also looked to movements from the Barbizon School, which emphasized naturalistic depictions of rural life and landscapes, breaking away from idealized, romanticized representations. French painters like Jean-François Millet and Gustave Courbet were especially influential for their focus on the working class and the honest portrayal of everyday scenes. These artists rejected the grandeur of academic art in favor of humble subjects and truthful observation—an approach that resonated with American painters seeking to capture the spirit of their own country. As a result, early American realists began integrating these European techniques and philosophies, laying the foundation for a more grounded, democratic vision of American life in the visual arts. After the Civil War in 1865, the art scene in America became uncertain.</w:t>
      </w:r>
      <w:r w:rsidDel="00000000" w:rsidR="00000000" w:rsidRPr="00000000">
        <w:rPr>
          <w:rFonts w:ascii="Times New Roman" w:cs="Times New Roman" w:eastAsia="Times New Roman" w:hAnsi="Times New Roman"/>
          <w:color w:val="0e101a"/>
          <w:sz w:val="24"/>
          <w:szCs w:val="24"/>
          <w:vertAlign w:val="superscript"/>
        </w:rPr>
        <w:footnoteReference w:customMarkFollows="0" w:id="6"/>
      </w:r>
      <w:r w:rsidDel="00000000" w:rsidR="00000000" w:rsidRPr="00000000">
        <w:rPr>
          <w:rFonts w:ascii="Times New Roman" w:cs="Times New Roman" w:eastAsia="Times New Roman" w:hAnsi="Times New Roman"/>
          <w:color w:val="0e101a"/>
          <w:sz w:val="24"/>
          <w:szCs w:val="24"/>
          <w:rtl w:val="0"/>
        </w:rPr>
        <w:t xml:space="preserve"> Many artists like Mary Cassatt, John Singer Sargent, and Frank Duveneck fled the United States during the war, not just for training but for style. </w:t>
      </w:r>
    </w:p>
    <w:p w:rsidR="00000000" w:rsidDel="00000000" w:rsidP="00000000" w:rsidRDefault="00000000" w:rsidRPr="00000000" w14:paraId="0000000A">
      <w:pPr>
        <w:spacing w:line="480" w:lineRule="auto"/>
        <w:ind w:firstLine="720"/>
        <w:rPr>
          <w:rFonts w:ascii="Times New Roman" w:cs="Times New Roman" w:eastAsia="Times New Roman" w:hAnsi="Times New Roman"/>
          <w:color w:val="0e101a"/>
          <w:sz w:val="24"/>
          <w:szCs w:val="24"/>
        </w:rPr>
      </w:pPr>
      <w:r w:rsidDel="00000000" w:rsidR="00000000" w:rsidRPr="00000000">
        <w:rPr>
          <w:rFonts w:ascii="Times New Roman" w:cs="Times New Roman" w:eastAsia="Times New Roman" w:hAnsi="Times New Roman"/>
          <w:color w:val="0e101a"/>
          <w:sz w:val="24"/>
          <w:szCs w:val="24"/>
          <w:rtl w:val="0"/>
        </w:rPr>
        <w:t xml:space="preserve">DeCamp’s connection with Frank Duveneck—one of the foremost American painters trained in Munich—was pivotal. Like DeCamp, Duveneck began his artistic education in Cincinnati. While many of his peers fled to Paris, Duveneck found himself at the Royal Academy in Munich. Here he became deeply influenced by the dark tonalities and vigorous brushwork of the School, which contrasted with the more polished styles popular in Paris. Duveneck absorbed these techniques and quickly gained recognition for his powerful portraits and genre scenes. His travels took him beyond Germany to Italy, where he spent time in Venice and Florence, drawing inspiration from the old masters and leading a group of young American artists known as the “Duveneck Boys”</w:t>
      </w:r>
      <w:r w:rsidDel="00000000" w:rsidR="00000000" w:rsidRPr="00000000">
        <w:rPr>
          <w:rFonts w:ascii="Times New Roman" w:cs="Times New Roman" w:eastAsia="Times New Roman" w:hAnsi="Times New Roman"/>
          <w:color w:val="0e101a"/>
          <w:sz w:val="24"/>
          <w:szCs w:val="24"/>
          <w:vertAlign w:val="superscript"/>
        </w:rPr>
        <w:footnoteReference w:customMarkFollows="0" w:id="7"/>
      </w:r>
      <w:r w:rsidDel="00000000" w:rsidR="00000000" w:rsidRPr="00000000">
        <w:rPr>
          <w:rFonts w:ascii="Times New Roman" w:cs="Times New Roman" w:eastAsia="Times New Roman" w:hAnsi="Times New Roman"/>
          <w:color w:val="0e101a"/>
          <w:sz w:val="24"/>
          <w:szCs w:val="24"/>
          <w:rtl w:val="0"/>
        </w:rPr>
        <w:t xml:space="preserve"> who soon absorbed his direct painting technique. </w:t>
      </w:r>
    </w:p>
    <w:p w:rsidR="00000000" w:rsidDel="00000000" w:rsidP="00000000" w:rsidRDefault="00000000" w:rsidRPr="00000000" w14:paraId="0000000B">
      <w:pPr>
        <w:spacing w:line="480" w:lineRule="auto"/>
        <w:ind w:firstLine="720"/>
        <w:rPr>
          <w:rFonts w:ascii="Times New Roman" w:cs="Times New Roman" w:eastAsia="Times New Roman" w:hAnsi="Times New Roman"/>
          <w:color w:val="0e101a"/>
          <w:sz w:val="24"/>
          <w:szCs w:val="24"/>
        </w:rPr>
      </w:pPr>
      <w:r w:rsidDel="00000000" w:rsidR="00000000" w:rsidRPr="00000000">
        <w:rPr>
          <w:rFonts w:ascii="Times New Roman" w:cs="Times New Roman" w:eastAsia="Times New Roman" w:hAnsi="Times New Roman"/>
          <w:color w:val="0e101a"/>
          <w:sz w:val="24"/>
          <w:szCs w:val="24"/>
          <w:rtl w:val="0"/>
        </w:rPr>
        <w:t xml:space="preserve">A crucial comparison to DeCamp’s </w:t>
      </w:r>
      <w:r w:rsidDel="00000000" w:rsidR="00000000" w:rsidRPr="00000000">
        <w:rPr>
          <w:rFonts w:ascii="Times New Roman" w:cs="Times New Roman" w:eastAsia="Times New Roman" w:hAnsi="Times New Roman"/>
          <w:i w:val="1"/>
          <w:color w:val="0e101a"/>
          <w:sz w:val="24"/>
          <w:szCs w:val="24"/>
          <w:rtl w:val="0"/>
        </w:rPr>
        <w:t xml:space="preserve">Women Drying Her Hair</w:t>
      </w:r>
      <w:r w:rsidDel="00000000" w:rsidR="00000000" w:rsidRPr="00000000">
        <w:rPr>
          <w:rFonts w:ascii="Times New Roman" w:cs="Times New Roman" w:eastAsia="Times New Roman" w:hAnsi="Times New Roman"/>
          <w:color w:val="0e101a"/>
          <w:sz w:val="24"/>
          <w:szCs w:val="24"/>
          <w:rtl w:val="0"/>
        </w:rPr>
        <w:t xml:space="preserve"> can be made with Frank Duveneck’s </w:t>
      </w:r>
      <w:r w:rsidDel="00000000" w:rsidR="00000000" w:rsidRPr="00000000">
        <w:rPr>
          <w:rFonts w:ascii="Times New Roman" w:cs="Times New Roman" w:eastAsia="Times New Roman" w:hAnsi="Times New Roman"/>
          <w:i w:val="1"/>
          <w:color w:val="0e101a"/>
          <w:sz w:val="24"/>
          <w:szCs w:val="24"/>
          <w:rtl w:val="0"/>
        </w:rPr>
        <w:t xml:space="preserve">Nude Back Study</w:t>
      </w:r>
      <w:r w:rsidDel="00000000" w:rsidR="00000000" w:rsidRPr="00000000">
        <w:rPr>
          <w:rFonts w:ascii="Times New Roman" w:cs="Times New Roman" w:eastAsia="Times New Roman" w:hAnsi="Times New Roman"/>
          <w:color w:val="0e101a"/>
          <w:sz w:val="24"/>
          <w:szCs w:val="24"/>
          <w:rtl w:val="0"/>
        </w:rPr>
        <w:t xml:space="preserve">(1879), a work DeCamp likely saw in production during their overlapping years in Munich. Duveneck’s study features a similarly posed female figure, also turned away from the viewer, emphasizing musculature and anatomical study over sensuality. The Munich School was known for its dark palette, strong chiaroscuro, and emphasis on tonal modeling—traits that influenced DeCamp.</w:t>
      </w:r>
      <w:r w:rsidDel="00000000" w:rsidR="00000000" w:rsidRPr="00000000">
        <w:rPr>
          <w:rFonts w:ascii="Times New Roman" w:cs="Times New Roman" w:eastAsia="Times New Roman" w:hAnsi="Times New Roman"/>
          <w:color w:val="0e101a"/>
          <w:sz w:val="24"/>
          <w:szCs w:val="24"/>
          <w:vertAlign w:val="superscript"/>
        </w:rPr>
        <w:footnoteReference w:customMarkFollows="0" w:id="8"/>
      </w:r>
      <w:r w:rsidDel="00000000" w:rsidR="00000000" w:rsidRPr="00000000">
        <w:rPr>
          <w:rFonts w:ascii="Times New Roman" w:cs="Times New Roman" w:eastAsia="Times New Roman" w:hAnsi="Times New Roman"/>
          <w:color w:val="0e101a"/>
          <w:sz w:val="24"/>
          <w:szCs w:val="24"/>
          <w:rtl w:val="0"/>
        </w:rPr>
        <w:t xml:space="preserve">This nuanced use of chiaroscuro not only defines the body’s volume but also imbues the figure with quiet dignity and gravity. The study reflects Duveneck’s grounding in European academic traditions, particularly the influence of Munich realism, yet his bold execution and attention to corporeal truth suggest a move toward a more modern, expressive mode of figure painting. Where Duveneck’s figure is raw and tactile, almost sculptural in its mass, DeCamp’s figure is more lyrical and more refined. The Munich style was focused on strong physical presence; DeCamp, while trained in this mode, introduced a greater degree of formal elegance and compositional balance. This divergence illustrates how DeCamp did not merely adopt the Duveneck approach wholesale but filtered it through his aesthetic lens, one increasingly informed by impressionism and his later travels.</w:t>
      </w:r>
    </w:p>
    <w:p w:rsidR="00000000" w:rsidDel="00000000" w:rsidP="00000000" w:rsidRDefault="00000000" w:rsidRPr="00000000" w14:paraId="0000000C">
      <w:pPr>
        <w:spacing w:line="480" w:lineRule="auto"/>
        <w:ind w:firstLine="720"/>
        <w:rPr>
          <w:rFonts w:ascii="Times New Roman" w:cs="Times New Roman" w:eastAsia="Times New Roman" w:hAnsi="Times New Roman"/>
          <w:color w:val="0e101a"/>
          <w:sz w:val="24"/>
          <w:szCs w:val="24"/>
        </w:rPr>
      </w:pPr>
      <w:r w:rsidDel="00000000" w:rsidR="00000000" w:rsidRPr="00000000">
        <w:rPr>
          <w:rFonts w:ascii="Times New Roman" w:cs="Times New Roman" w:eastAsia="Times New Roman" w:hAnsi="Times New Roman"/>
          <w:color w:val="0e101a"/>
          <w:sz w:val="24"/>
          <w:szCs w:val="24"/>
          <w:rtl w:val="0"/>
        </w:rPr>
        <w:t xml:space="preserve">Although it is never stated that DeCamp was a part of the “Duveneck Boys”, it is implied by his similar time abroad with Duveneck himself, his stylistic affinities with this group are also undeniable. Duveneck’s approach to figure drawing, rooted in tonal contrast and anatomical precision, is echoed in </w:t>
      </w:r>
      <w:r w:rsidDel="00000000" w:rsidR="00000000" w:rsidRPr="00000000">
        <w:rPr>
          <w:rFonts w:ascii="Times New Roman" w:cs="Times New Roman" w:eastAsia="Times New Roman" w:hAnsi="Times New Roman"/>
          <w:i w:val="1"/>
          <w:color w:val="0e101a"/>
          <w:sz w:val="24"/>
          <w:szCs w:val="24"/>
          <w:rtl w:val="0"/>
        </w:rPr>
        <w:t xml:space="preserve">Woman Drying Her Hair</w:t>
      </w:r>
      <w:r w:rsidDel="00000000" w:rsidR="00000000" w:rsidRPr="00000000">
        <w:rPr>
          <w:rFonts w:ascii="Times New Roman" w:cs="Times New Roman" w:eastAsia="Times New Roman" w:hAnsi="Times New Roman"/>
          <w:color w:val="0e101a"/>
          <w:sz w:val="24"/>
          <w:szCs w:val="24"/>
          <w:rtl w:val="0"/>
        </w:rPr>
        <w:t xml:space="preserve">. Through Duveneck, DeCamp was introduced to European masterworks firsthand, and this transatlantic exposure shaped his foundational understanding of the nude. After following Duveneck back to Munich in 1875, Duveneck decided Munich was too ‘plead’ and took his boys to Florence and Venice in 1879</w:t>
      </w:r>
      <w:r w:rsidDel="00000000" w:rsidR="00000000" w:rsidRPr="00000000">
        <w:rPr>
          <w:rFonts w:ascii="Times New Roman" w:cs="Times New Roman" w:eastAsia="Times New Roman" w:hAnsi="Times New Roman"/>
          <w:color w:val="0e101a"/>
          <w:sz w:val="24"/>
          <w:szCs w:val="24"/>
          <w:vertAlign w:val="superscript"/>
        </w:rPr>
        <w:footnoteReference w:customMarkFollows="0" w:id="9"/>
      </w:r>
      <w:r w:rsidDel="00000000" w:rsidR="00000000" w:rsidRPr="00000000">
        <w:rPr>
          <w:rFonts w:ascii="Times New Roman" w:cs="Times New Roman" w:eastAsia="Times New Roman" w:hAnsi="Times New Roman"/>
          <w:color w:val="0e101a"/>
          <w:sz w:val="24"/>
          <w:szCs w:val="24"/>
          <w:rtl w:val="0"/>
        </w:rPr>
        <w:t xml:space="preserve"> where these [Duveneck] boys were able to see masters of the past who were not typically shown in America. The European tradition of studying the nude was rooted in classical ideals. From Michelangelo’s </w:t>
      </w:r>
      <w:r w:rsidDel="00000000" w:rsidR="00000000" w:rsidRPr="00000000">
        <w:rPr>
          <w:rFonts w:ascii="Times New Roman" w:cs="Times New Roman" w:eastAsia="Times New Roman" w:hAnsi="Times New Roman"/>
          <w:i w:val="1"/>
          <w:color w:val="0e101a"/>
          <w:sz w:val="24"/>
          <w:szCs w:val="24"/>
          <w:rtl w:val="0"/>
        </w:rPr>
        <w:t xml:space="preserve">David</w:t>
      </w:r>
      <w:r w:rsidDel="00000000" w:rsidR="00000000" w:rsidRPr="00000000">
        <w:rPr>
          <w:rFonts w:ascii="Times New Roman" w:cs="Times New Roman" w:eastAsia="Times New Roman" w:hAnsi="Times New Roman"/>
          <w:color w:val="0e101a"/>
          <w:sz w:val="24"/>
          <w:szCs w:val="24"/>
          <w:rtl w:val="0"/>
        </w:rPr>
        <w:t xml:space="preserve"> to Courbet’s figure of </w:t>
      </w:r>
      <w:r w:rsidDel="00000000" w:rsidR="00000000" w:rsidRPr="00000000">
        <w:rPr>
          <w:rFonts w:ascii="Times New Roman" w:cs="Times New Roman" w:eastAsia="Times New Roman" w:hAnsi="Times New Roman"/>
          <w:i w:val="1"/>
          <w:color w:val="0e101a"/>
          <w:sz w:val="24"/>
          <w:szCs w:val="24"/>
          <w:rtl w:val="0"/>
        </w:rPr>
        <w:t xml:space="preserve">The Source (1862)</w:t>
      </w:r>
      <w:r w:rsidDel="00000000" w:rsidR="00000000" w:rsidRPr="00000000">
        <w:rPr>
          <w:rFonts w:ascii="Times New Roman" w:cs="Times New Roman" w:eastAsia="Times New Roman" w:hAnsi="Times New Roman"/>
          <w:color w:val="0e101a"/>
          <w:sz w:val="24"/>
          <w:szCs w:val="24"/>
          <w:rtl w:val="0"/>
        </w:rPr>
        <w:t xml:space="preserve">, the nude figure was a vessel of aesthetic exploration. Goya’s </w:t>
      </w:r>
      <w:r w:rsidDel="00000000" w:rsidR="00000000" w:rsidRPr="00000000">
        <w:rPr>
          <w:rFonts w:ascii="Times New Roman" w:cs="Times New Roman" w:eastAsia="Times New Roman" w:hAnsi="Times New Roman"/>
          <w:i w:val="1"/>
          <w:color w:val="0e101a"/>
          <w:sz w:val="24"/>
          <w:szCs w:val="24"/>
          <w:rtl w:val="0"/>
        </w:rPr>
        <w:t xml:space="preserve">La Maja Desnuda</w:t>
      </w:r>
      <w:r w:rsidDel="00000000" w:rsidR="00000000" w:rsidRPr="00000000">
        <w:rPr>
          <w:rFonts w:ascii="Times New Roman" w:cs="Times New Roman" w:eastAsia="Times New Roman" w:hAnsi="Times New Roman"/>
          <w:color w:val="0e101a"/>
          <w:sz w:val="24"/>
          <w:szCs w:val="24"/>
          <w:rtl w:val="0"/>
        </w:rPr>
        <w:t xml:space="preserve">, Manet’s </w:t>
      </w:r>
      <w:r w:rsidDel="00000000" w:rsidR="00000000" w:rsidRPr="00000000">
        <w:rPr>
          <w:rFonts w:ascii="Times New Roman" w:cs="Times New Roman" w:eastAsia="Times New Roman" w:hAnsi="Times New Roman"/>
          <w:i w:val="1"/>
          <w:color w:val="0e101a"/>
          <w:sz w:val="24"/>
          <w:szCs w:val="24"/>
          <w:rtl w:val="0"/>
        </w:rPr>
        <w:t xml:space="preserve">Olympia</w:t>
      </w:r>
      <w:r w:rsidDel="00000000" w:rsidR="00000000" w:rsidRPr="00000000">
        <w:rPr>
          <w:rFonts w:ascii="Times New Roman" w:cs="Times New Roman" w:eastAsia="Times New Roman" w:hAnsi="Times New Roman"/>
          <w:color w:val="0e101a"/>
          <w:sz w:val="24"/>
          <w:szCs w:val="24"/>
          <w:rtl w:val="0"/>
        </w:rPr>
        <w:t xml:space="preserve">, and Velázquez’s </w:t>
      </w:r>
      <w:r w:rsidDel="00000000" w:rsidR="00000000" w:rsidRPr="00000000">
        <w:rPr>
          <w:rFonts w:ascii="Times New Roman" w:cs="Times New Roman" w:eastAsia="Times New Roman" w:hAnsi="Times New Roman"/>
          <w:i w:val="1"/>
          <w:color w:val="0e101a"/>
          <w:sz w:val="24"/>
          <w:szCs w:val="24"/>
          <w:rtl w:val="0"/>
        </w:rPr>
        <w:t xml:space="preserve">Rokeby Venus</w:t>
      </w:r>
      <w:r w:rsidDel="00000000" w:rsidR="00000000" w:rsidRPr="00000000">
        <w:rPr>
          <w:rFonts w:ascii="Times New Roman" w:cs="Times New Roman" w:eastAsia="Times New Roman" w:hAnsi="Times New Roman"/>
          <w:color w:val="0e101a"/>
          <w:sz w:val="24"/>
          <w:szCs w:val="24"/>
          <w:rtl w:val="0"/>
        </w:rPr>
        <w:t xml:space="preserve"> all challenged norms of propriety and gaze. Yet DeCamp's </w:t>
      </w:r>
      <w:r w:rsidDel="00000000" w:rsidR="00000000" w:rsidRPr="00000000">
        <w:rPr>
          <w:rFonts w:ascii="Times New Roman" w:cs="Times New Roman" w:eastAsia="Times New Roman" w:hAnsi="Times New Roman"/>
          <w:i w:val="1"/>
          <w:color w:val="0e101a"/>
          <w:sz w:val="24"/>
          <w:szCs w:val="24"/>
          <w:rtl w:val="0"/>
        </w:rPr>
        <w:t xml:space="preserve">Woman Drying Her Hair</w:t>
      </w:r>
      <w:r w:rsidDel="00000000" w:rsidR="00000000" w:rsidRPr="00000000">
        <w:rPr>
          <w:rFonts w:ascii="Times New Roman" w:cs="Times New Roman" w:eastAsia="Times New Roman" w:hAnsi="Times New Roman"/>
          <w:color w:val="0e101a"/>
          <w:sz w:val="24"/>
          <w:szCs w:val="24"/>
          <w:rtl w:val="0"/>
        </w:rPr>
        <w:t xml:space="preserve"> avoids provocation. Unlike </w:t>
      </w:r>
      <w:r w:rsidDel="00000000" w:rsidR="00000000" w:rsidRPr="00000000">
        <w:rPr>
          <w:rFonts w:ascii="Times New Roman" w:cs="Times New Roman" w:eastAsia="Times New Roman" w:hAnsi="Times New Roman"/>
          <w:i w:val="1"/>
          <w:color w:val="0e101a"/>
          <w:sz w:val="24"/>
          <w:szCs w:val="24"/>
          <w:rtl w:val="0"/>
        </w:rPr>
        <w:t xml:space="preserve">Olympia</w:t>
      </w:r>
      <w:r w:rsidDel="00000000" w:rsidR="00000000" w:rsidRPr="00000000">
        <w:rPr>
          <w:rFonts w:ascii="Times New Roman" w:cs="Times New Roman" w:eastAsia="Times New Roman" w:hAnsi="Times New Roman"/>
          <w:color w:val="0e101a"/>
          <w:sz w:val="24"/>
          <w:szCs w:val="24"/>
          <w:rtl w:val="0"/>
        </w:rPr>
        <w:t xml:space="preserve">, she does not meet the viewer's gaze. Unlike </w:t>
      </w:r>
      <w:r w:rsidDel="00000000" w:rsidR="00000000" w:rsidRPr="00000000">
        <w:rPr>
          <w:rFonts w:ascii="Times New Roman" w:cs="Times New Roman" w:eastAsia="Times New Roman" w:hAnsi="Times New Roman"/>
          <w:i w:val="1"/>
          <w:color w:val="0e101a"/>
          <w:sz w:val="24"/>
          <w:szCs w:val="24"/>
          <w:rtl w:val="0"/>
        </w:rPr>
        <w:t xml:space="preserve">Rokeby Venus</w:t>
      </w:r>
      <w:r w:rsidDel="00000000" w:rsidR="00000000" w:rsidRPr="00000000">
        <w:rPr>
          <w:rFonts w:ascii="Times New Roman" w:cs="Times New Roman" w:eastAsia="Times New Roman" w:hAnsi="Times New Roman"/>
          <w:color w:val="0e101a"/>
          <w:sz w:val="24"/>
          <w:szCs w:val="24"/>
          <w:rtl w:val="0"/>
        </w:rPr>
        <w:t xml:space="preserve">, she is not adorned or mythologized. Like Degas </w:t>
      </w:r>
      <w:r w:rsidDel="00000000" w:rsidR="00000000" w:rsidRPr="00000000">
        <w:rPr>
          <w:rFonts w:ascii="Times New Roman" w:cs="Times New Roman" w:eastAsia="Times New Roman" w:hAnsi="Times New Roman"/>
          <w:i w:val="1"/>
          <w:color w:val="0e101a"/>
          <w:sz w:val="24"/>
          <w:szCs w:val="24"/>
          <w:rtl w:val="0"/>
        </w:rPr>
        <w:t xml:space="preserve">Woman Combing her hair</w:t>
      </w:r>
      <w:r w:rsidDel="00000000" w:rsidR="00000000" w:rsidRPr="00000000">
        <w:rPr>
          <w:rFonts w:ascii="Times New Roman" w:cs="Times New Roman" w:eastAsia="Times New Roman" w:hAnsi="Times New Roman"/>
          <w:color w:val="0e101a"/>
          <w:sz w:val="24"/>
          <w:szCs w:val="24"/>
          <w:rtl w:val="0"/>
        </w:rPr>
        <w:t xml:space="preserve">, she is absorbed in an act—an everyday, unidealized moment. </w:t>
      </w:r>
    </w:p>
    <w:p w:rsidR="00000000" w:rsidDel="00000000" w:rsidP="00000000" w:rsidRDefault="00000000" w:rsidRPr="00000000" w14:paraId="0000000D">
      <w:pPr>
        <w:spacing w:line="480" w:lineRule="auto"/>
        <w:ind w:firstLine="720"/>
        <w:rPr>
          <w:rFonts w:ascii="Times New Roman" w:cs="Times New Roman" w:eastAsia="Times New Roman" w:hAnsi="Times New Roman"/>
          <w:color w:val="0e101a"/>
          <w:sz w:val="24"/>
          <w:szCs w:val="24"/>
        </w:rPr>
      </w:pPr>
      <w:r w:rsidDel="00000000" w:rsidR="00000000" w:rsidRPr="00000000">
        <w:rPr>
          <w:rFonts w:ascii="Times New Roman" w:cs="Times New Roman" w:eastAsia="Times New Roman" w:hAnsi="Times New Roman"/>
          <w:color w:val="0e101a"/>
          <w:sz w:val="24"/>
          <w:szCs w:val="24"/>
          <w:rtl w:val="0"/>
        </w:rPr>
        <w:t xml:space="preserve">He appears instead to align with painters like John Singer Sargent, whose </w:t>
      </w:r>
      <w:r w:rsidDel="00000000" w:rsidR="00000000" w:rsidRPr="00000000">
        <w:rPr>
          <w:rFonts w:ascii="Times New Roman" w:cs="Times New Roman" w:eastAsia="Times New Roman" w:hAnsi="Times New Roman"/>
          <w:i w:val="1"/>
          <w:color w:val="0e101a"/>
          <w:sz w:val="24"/>
          <w:szCs w:val="24"/>
          <w:rtl w:val="0"/>
        </w:rPr>
        <w:t xml:space="preserve">Egyptian Girl</w:t>
      </w:r>
      <w:r w:rsidDel="00000000" w:rsidR="00000000" w:rsidRPr="00000000">
        <w:rPr>
          <w:rFonts w:ascii="Times New Roman" w:cs="Times New Roman" w:eastAsia="Times New Roman" w:hAnsi="Times New Roman"/>
          <w:color w:val="0e101a"/>
          <w:sz w:val="24"/>
          <w:szCs w:val="24"/>
          <w:rtl w:val="0"/>
        </w:rPr>
        <w:t xml:space="preserve"> similarly presents the nude as a study in light, line, and volume. Both artists remove narrative to elevate formal analysis. In DeCamp’s case, the study becomes so refined, so complete, that it masquerades as a finished painting—confounding expectations of what constitutes a “study” versus a “work.” A similar comparison can be made with Edmund Tarbell’s </w:t>
      </w:r>
      <w:r w:rsidDel="00000000" w:rsidR="00000000" w:rsidRPr="00000000">
        <w:rPr>
          <w:rFonts w:ascii="Times New Roman" w:cs="Times New Roman" w:eastAsia="Times New Roman" w:hAnsi="Times New Roman"/>
          <w:i w:val="1"/>
          <w:color w:val="0e101a"/>
          <w:sz w:val="24"/>
          <w:szCs w:val="24"/>
          <w:rtl w:val="0"/>
        </w:rPr>
        <w:t xml:space="preserve">Venetian Blind</w:t>
      </w:r>
      <w:r w:rsidDel="00000000" w:rsidR="00000000" w:rsidRPr="00000000">
        <w:rPr>
          <w:rFonts w:ascii="Times New Roman" w:cs="Times New Roman" w:eastAsia="Times New Roman" w:hAnsi="Times New Roman"/>
          <w:color w:val="0e101a"/>
          <w:sz w:val="24"/>
          <w:szCs w:val="24"/>
          <w:rtl w:val="0"/>
        </w:rPr>
        <w:t xml:space="preserve"> (1898). In </w:t>
      </w:r>
      <w:r w:rsidDel="00000000" w:rsidR="00000000" w:rsidRPr="00000000">
        <w:rPr>
          <w:rFonts w:ascii="Times New Roman" w:cs="Times New Roman" w:eastAsia="Times New Roman" w:hAnsi="Times New Roman"/>
          <w:i w:val="1"/>
          <w:color w:val="0e101a"/>
          <w:sz w:val="24"/>
          <w:szCs w:val="24"/>
          <w:rtl w:val="0"/>
        </w:rPr>
        <w:t xml:space="preserve">Woman Drying Her Hair</w:t>
      </w:r>
      <w:r w:rsidDel="00000000" w:rsidR="00000000" w:rsidRPr="00000000">
        <w:rPr>
          <w:rFonts w:ascii="Times New Roman" w:cs="Times New Roman" w:eastAsia="Times New Roman" w:hAnsi="Times New Roman"/>
          <w:color w:val="0e101a"/>
          <w:sz w:val="24"/>
          <w:szCs w:val="24"/>
          <w:rtl w:val="0"/>
        </w:rPr>
        <w:t xml:space="preserve">, DeCamp emphasizes the sensuality and physicality of the female figure, presenting her nude and turning away from the viewer in a private moment of self-care. The warm, diffused light gently caresses her skin, and the fluid brushwork enhances the softness and naturalism of the scene. Tarbell’s </w:t>
      </w:r>
      <w:r w:rsidDel="00000000" w:rsidR="00000000" w:rsidRPr="00000000">
        <w:rPr>
          <w:rFonts w:ascii="Times New Roman" w:cs="Times New Roman" w:eastAsia="Times New Roman" w:hAnsi="Times New Roman"/>
          <w:i w:val="1"/>
          <w:color w:val="0e101a"/>
          <w:sz w:val="24"/>
          <w:szCs w:val="24"/>
          <w:rtl w:val="0"/>
        </w:rPr>
        <w:t xml:space="preserve">Venetian Blind</w:t>
      </w:r>
      <w:r w:rsidDel="00000000" w:rsidR="00000000" w:rsidRPr="00000000">
        <w:rPr>
          <w:rFonts w:ascii="Times New Roman" w:cs="Times New Roman" w:eastAsia="Times New Roman" w:hAnsi="Times New Roman"/>
          <w:color w:val="0e101a"/>
          <w:sz w:val="24"/>
          <w:szCs w:val="24"/>
          <w:rtl w:val="0"/>
        </w:rPr>
        <w:t xml:space="preserve">, on the other hand, is more reserved and structured, focusing on a fully clothed woman standing by a window, bathed in the cool, filtered light cast through the blinds. The pattern of light and shadow becomes a central compositional element between these paintings, creating a sense of rhythm and visual interest while maintaining a tone of decorum and refinement. As these two works were created in the same year, there are arguments on who influenced who first in the composition they chose.</w:t>
      </w:r>
      <w:r w:rsidDel="00000000" w:rsidR="00000000" w:rsidRPr="00000000">
        <w:rPr>
          <w:rFonts w:ascii="Times New Roman" w:cs="Times New Roman" w:eastAsia="Times New Roman" w:hAnsi="Times New Roman"/>
          <w:color w:val="0e101a"/>
          <w:sz w:val="24"/>
          <w:szCs w:val="24"/>
          <w:vertAlign w:val="superscript"/>
        </w:rPr>
        <w:footnoteReference w:customMarkFollows="0" w:id="10"/>
      </w:r>
      <w:r w:rsidDel="00000000" w:rsidR="00000000" w:rsidRPr="00000000">
        <w:rPr>
          <w:rtl w:val="0"/>
        </w:rPr>
      </w:r>
    </w:p>
    <w:p w:rsidR="00000000" w:rsidDel="00000000" w:rsidP="00000000" w:rsidRDefault="00000000" w:rsidRPr="00000000" w14:paraId="0000000E">
      <w:pPr>
        <w:spacing w:line="480" w:lineRule="auto"/>
        <w:ind w:firstLine="720"/>
        <w:rPr>
          <w:rFonts w:ascii="Times New Roman" w:cs="Times New Roman" w:eastAsia="Times New Roman" w:hAnsi="Times New Roman"/>
          <w:color w:val="0e101a"/>
          <w:sz w:val="24"/>
          <w:szCs w:val="24"/>
        </w:rPr>
      </w:pPr>
      <w:r w:rsidDel="00000000" w:rsidR="00000000" w:rsidRPr="00000000">
        <w:rPr>
          <w:rFonts w:ascii="Times New Roman" w:cs="Times New Roman" w:eastAsia="Times New Roman" w:hAnsi="Times New Roman"/>
          <w:color w:val="0e101a"/>
          <w:sz w:val="24"/>
          <w:szCs w:val="24"/>
          <w:rtl w:val="0"/>
        </w:rPr>
        <w:t xml:space="preserve">Historically, European academic training emphasized the rigorous study of the human form, beginning with copies of antique statuary before advancing to live models. This method was designed not only to instill technical skill but also to cultivate a disciplined eye—one that understood structure, balance, and idealized beauty. Importantly, students were often encouraged to study the back of the figure first.</w:t>
      </w:r>
      <w:r w:rsidDel="00000000" w:rsidR="00000000" w:rsidRPr="00000000">
        <w:rPr>
          <w:rFonts w:ascii="Times New Roman" w:cs="Times New Roman" w:eastAsia="Times New Roman" w:hAnsi="Times New Roman"/>
          <w:color w:val="0e101a"/>
          <w:sz w:val="24"/>
          <w:szCs w:val="24"/>
          <w:vertAlign w:val="superscript"/>
        </w:rPr>
        <w:footnoteReference w:customMarkFollows="0" w:id="11"/>
      </w:r>
      <w:r w:rsidDel="00000000" w:rsidR="00000000" w:rsidRPr="00000000">
        <w:rPr>
          <w:rFonts w:ascii="Times New Roman" w:cs="Times New Roman" w:eastAsia="Times New Roman" w:hAnsi="Times New Roman"/>
          <w:color w:val="0e101a"/>
          <w:sz w:val="24"/>
          <w:szCs w:val="24"/>
          <w:rtl w:val="0"/>
        </w:rPr>
        <w:t xml:space="preserve"> The back, unlike the face or frontal torso, was considered less emotionally charged and less likely to evoke narrative or erotic associations. It offered a pure field for exploring musculature, rhythm, and proportion without the distractions of identity or expression. In rendering the back, artists could master light and shadow, the tension of posture, and the flow of the figure in space.</w:t>
      </w:r>
      <w:r w:rsidDel="00000000" w:rsidR="00000000" w:rsidRPr="00000000">
        <w:rPr>
          <w:rFonts w:ascii="Times New Roman" w:cs="Times New Roman" w:eastAsia="Times New Roman" w:hAnsi="Times New Roman"/>
          <w:color w:val="0e101a"/>
          <w:sz w:val="24"/>
          <w:szCs w:val="24"/>
          <w:vertAlign w:val="superscript"/>
        </w:rPr>
        <w:footnoteReference w:customMarkFollows="0" w:id="12"/>
      </w:r>
      <w:r w:rsidDel="00000000" w:rsidR="00000000" w:rsidRPr="00000000">
        <w:rPr>
          <w:rFonts w:ascii="Times New Roman" w:cs="Times New Roman" w:eastAsia="Times New Roman" w:hAnsi="Times New Roman"/>
          <w:color w:val="0e101a"/>
          <w:sz w:val="24"/>
          <w:szCs w:val="24"/>
          <w:rtl w:val="0"/>
        </w:rPr>
        <w:t xml:space="preserve"> DeCamp’s decision to present the model in </w:t>
      </w:r>
      <w:r w:rsidDel="00000000" w:rsidR="00000000" w:rsidRPr="00000000">
        <w:rPr>
          <w:rFonts w:ascii="Times New Roman" w:cs="Times New Roman" w:eastAsia="Times New Roman" w:hAnsi="Times New Roman"/>
          <w:i w:val="1"/>
          <w:color w:val="0e101a"/>
          <w:sz w:val="24"/>
          <w:szCs w:val="24"/>
          <w:rtl w:val="0"/>
        </w:rPr>
        <w:t xml:space="preserve">Woman Drying Her Hair</w:t>
      </w:r>
      <w:r w:rsidDel="00000000" w:rsidR="00000000" w:rsidRPr="00000000">
        <w:rPr>
          <w:rFonts w:ascii="Times New Roman" w:cs="Times New Roman" w:eastAsia="Times New Roman" w:hAnsi="Times New Roman"/>
          <w:color w:val="0e101a"/>
          <w:sz w:val="24"/>
          <w:szCs w:val="24"/>
          <w:rtl w:val="0"/>
        </w:rPr>
        <w:t xml:space="preserve"> from behind thus does more than echo a classical pose—it symbolically aligns the painting with the academic studio rather than the public-facing world of the salon. It places the viewer in the role of the student or peer, observing a private study rather than a display for judgment or consumption. This orientation makes the painting feel introspective and meditative, as though we are being invited into the artist’s process of discovery. It is not a performance,but a lesson—a moment of artistic inquiry preserved in oil.</w:t>
      </w:r>
    </w:p>
    <w:p w:rsidR="00000000" w:rsidDel="00000000" w:rsidP="00000000" w:rsidRDefault="00000000" w:rsidRPr="00000000" w14:paraId="0000000F">
      <w:pPr>
        <w:spacing w:line="480" w:lineRule="auto"/>
        <w:ind w:firstLine="720"/>
        <w:rPr>
          <w:rFonts w:ascii="Times New Roman" w:cs="Times New Roman" w:eastAsia="Times New Roman" w:hAnsi="Times New Roman"/>
          <w:color w:val="0e101a"/>
          <w:sz w:val="24"/>
          <w:szCs w:val="24"/>
        </w:rPr>
      </w:pPr>
      <w:r w:rsidDel="00000000" w:rsidR="00000000" w:rsidRPr="00000000">
        <w:rPr>
          <w:rFonts w:ascii="Times New Roman" w:cs="Times New Roman" w:eastAsia="Times New Roman" w:hAnsi="Times New Roman"/>
          <w:color w:val="0e101a"/>
          <w:sz w:val="24"/>
          <w:szCs w:val="24"/>
          <w:rtl w:val="0"/>
        </w:rPr>
        <w:t xml:space="preserve">And yet, DeCamp chose to exhibit </w:t>
      </w:r>
      <w:r w:rsidDel="00000000" w:rsidR="00000000" w:rsidRPr="00000000">
        <w:rPr>
          <w:rFonts w:ascii="Times New Roman" w:cs="Times New Roman" w:eastAsia="Times New Roman" w:hAnsi="Times New Roman"/>
          <w:i w:val="1"/>
          <w:color w:val="0e101a"/>
          <w:sz w:val="24"/>
          <w:szCs w:val="24"/>
          <w:rtl w:val="0"/>
        </w:rPr>
        <w:t xml:space="preserve">Woman Drying Her Hair</w:t>
      </w:r>
      <w:r w:rsidDel="00000000" w:rsidR="00000000" w:rsidRPr="00000000">
        <w:rPr>
          <w:rFonts w:ascii="Times New Roman" w:cs="Times New Roman" w:eastAsia="Times New Roman" w:hAnsi="Times New Roman"/>
          <w:color w:val="0e101a"/>
          <w:sz w:val="24"/>
          <w:szCs w:val="24"/>
          <w:rtl w:val="0"/>
        </w:rPr>
        <w:t xml:space="preserve"> multiple times throughout his career, and he referred to it with notable esteem, calling it one of his finest works. He boldly exhibited his nude paintings in 1898, at least in the first two shows of the Ten American Painters.</w:t>
      </w:r>
      <w:r w:rsidDel="00000000" w:rsidR="00000000" w:rsidRPr="00000000">
        <w:rPr>
          <w:rFonts w:ascii="Times New Roman" w:cs="Times New Roman" w:eastAsia="Times New Roman" w:hAnsi="Times New Roman"/>
          <w:color w:val="0e101a"/>
          <w:sz w:val="24"/>
          <w:szCs w:val="24"/>
          <w:vertAlign w:val="superscript"/>
        </w:rPr>
        <w:footnoteReference w:customMarkFollows="0" w:id="13"/>
      </w:r>
      <w:r w:rsidDel="00000000" w:rsidR="00000000" w:rsidRPr="00000000">
        <w:rPr>
          <w:rFonts w:ascii="Times New Roman" w:cs="Times New Roman" w:eastAsia="Times New Roman" w:hAnsi="Times New Roman"/>
          <w:color w:val="0e101a"/>
          <w:sz w:val="24"/>
          <w:szCs w:val="24"/>
          <w:rtl w:val="0"/>
        </w:rPr>
        <w:t xml:space="preserve"> Founded in 1897, </w:t>
      </w:r>
      <w:r w:rsidDel="00000000" w:rsidR="00000000" w:rsidRPr="00000000">
        <w:rPr>
          <w:rFonts w:ascii="Times New Roman" w:cs="Times New Roman" w:eastAsia="Times New Roman" w:hAnsi="Times New Roman"/>
          <w:i w:val="1"/>
          <w:color w:val="0e101a"/>
          <w:sz w:val="24"/>
          <w:szCs w:val="24"/>
          <w:rtl w:val="0"/>
        </w:rPr>
        <w:t xml:space="preserve">The Ten</w:t>
      </w:r>
      <w:r w:rsidDel="00000000" w:rsidR="00000000" w:rsidRPr="00000000">
        <w:rPr>
          <w:rFonts w:ascii="Times New Roman" w:cs="Times New Roman" w:eastAsia="Times New Roman" w:hAnsi="Times New Roman"/>
          <w:color w:val="0e101a"/>
          <w:sz w:val="24"/>
          <w:szCs w:val="24"/>
          <w:rtl w:val="0"/>
        </w:rPr>
        <w:t xml:space="preserve"> was a collective of artists who broke away from the conservative National Academy of Design, seeking more creative independence and greater freedom in exhibiting their work. According to Art Historian William H. Gerdts, Decamps's application became one of the most controversial works in the show.</w:t>
      </w:r>
      <w:r w:rsidDel="00000000" w:rsidR="00000000" w:rsidRPr="00000000">
        <w:rPr>
          <w:rFonts w:ascii="Times New Roman" w:cs="Times New Roman" w:eastAsia="Times New Roman" w:hAnsi="Times New Roman"/>
          <w:color w:val="0e101a"/>
          <w:sz w:val="24"/>
          <w:szCs w:val="24"/>
          <w:vertAlign w:val="superscript"/>
        </w:rPr>
        <w:footnoteReference w:customMarkFollows="0" w:id="14"/>
      </w:r>
      <w:r w:rsidDel="00000000" w:rsidR="00000000" w:rsidRPr="00000000">
        <w:rPr>
          <w:rFonts w:ascii="Times New Roman" w:cs="Times New Roman" w:eastAsia="Times New Roman" w:hAnsi="Times New Roman"/>
          <w:color w:val="0e101a"/>
          <w:sz w:val="24"/>
          <w:szCs w:val="24"/>
          <w:rtl w:val="0"/>
        </w:rPr>
        <w:t xml:space="preserve"> Along with DeCamp's notable exhibition in Paris in 1900, DeCamp first Exhibited Woman Drying Her Hair at the Sixth Annual Exhibition of American Art in the Art Museum and the Sixty-Eighth Annual Pennsylvania Academy Exposition in 1899.</w:t>
      </w:r>
      <w:r w:rsidDel="00000000" w:rsidR="00000000" w:rsidRPr="00000000">
        <w:rPr>
          <w:rFonts w:ascii="Times New Roman" w:cs="Times New Roman" w:eastAsia="Times New Roman" w:hAnsi="Times New Roman"/>
          <w:color w:val="0e101a"/>
          <w:sz w:val="24"/>
          <w:szCs w:val="24"/>
          <w:vertAlign w:val="superscript"/>
        </w:rPr>
        <w:footnoteReference w:customMarkFollows="0" w:id="15"/>
      </w:r>
      <w:r w:rsidDel="00000000" w:rsidR="00000000" w:rsidRPr="00000000">
        <w:rPr>
          <w:rFonts w:ascii="Times New Roman" w:cs="Times New Roman" w:eastAsia="Times New Roman" w:hAnsi="Times New Roman"/>
          <w:color w:val="0e101a"/>
          <w:sz w:val="24"/>
          <w:szCs w:val="24"/>
          <w:rtl w:val="0"/>
        </w:rPr>
        <w:t xml:space="preserve"> This duality—between the private nature of a study and the public nature of an exhibition—reinforces the painting’s complex status. While it may have originated as a studio exercise, DeCamp’s insistence on showing it suggests that he saw it as more than an academic trial. It was a declaration of values, a visual manifesto on what mattered in painting: precision, restraint, formal elegance, and an unwavering focus on the internal logic of composition.</w:t>
      </w:r>
    </w:p>
    <w:p w:rsidR="00000000" w:rsidDel="00000000" w:rsidP="00000000" w:rsidRDefault="00000000" w:rsidRPr="00000000" w14:paraId="00000010">
      <w:pPr>
        <w:spacing w:line="480" w:lineRule="auto"/>
        <w:ind w:firstLine="720"/>
        <w:rPr>
          <w:rFonts w:ascii="Times New Roman" w:cs="Times New Roman" w:eastAsia="Times New Roman" w:hAnsi="Times New Roman"/>
          <w:color w:val="0e101a"/>
          <w:sz w:val="24"/>
          <w:szCs w:val="24"/>
        </w:rPr>
      </w:pPr>
      <w:r w:rsidDel="00000000" w:rsidR="00000000" w:rsidRPr="00000000">
        <w:rPr>
          <w:rFonts w:ascii="Times New Roman" w:cs="Times New Roman" w:eastAsia="Times New Roman" w:hAnsi="Times New Roman"/>
          <w:color w:val="0e101a"/>
          <w:sz w:val="24"/>
          <w:szCs w:val="24"/>
          <w:rtl w:val="0"/>
        </w:rPr>
        <w:t xml:space="preserve">Critical reception during his lifetime reflected both admiration and confusion. On one hand, the painting was praised for its technical mastery—its subtle tonal transitions, anatomical accuracy, and compositional grace. On the other hand, some critics like Gerdts, found it emotionally cold or lacking in narrative appeal.</w:t>
      </w:r>
      <w:r w:rsidDel="00000000" w:rsidR="00000000" w:rsidRPr="00000000">
        <w:rPr>
          <w:rFonts w:ascii="Times New Roman" w:cs="Times New Roman" w:eastAsia="Times New Roman" w:hAnsi="Times New Roman"/>
          <w:color w:val="0e101a"/>
          <w:sz w:val="24"/>
          <w:szCs w:val="24"/>
          <w:vertAlign w:val="superscript"/>
        </w:rPr>
        <w:footnoteReference w:customMarkFollows="0" w:id="16"/>
      </w:r>
      <w:r w:rsidDel="00000000" w:rsidR="00000000" w:rsidRPr="00000000">
        <w:rPr>
          <w:rFonts w:ascii="Times New Roman" w:cs="Times New Roman" w:eastAsia="Times New Roman" w:hAnsi="Times New Roman"/>
          <w:color w:val="0e101a"/>
          <w:sz w:val="24"/>
          <w:szCs w:val="24"/>
          <w:rtl w:val="0"/>
        </w:rPr>
        <w:t xml:space="preserve"> But these very critiques underscore what made the painting radical in its way. At a time when American artists were increasingly eager to assert themselves on the global stage, often through grand historical or sentimental themes like DeCamp’s </w:t>
      </w:r>
      <w:r w:rsidDel="00000000" w:rsidR="00000000" w:rsidRPr="00000000">
        <w:rPr>
          <w:rFonts w:ascii="Times New Roman" w:cs="Times New Roman" w:eastAsia="Times New Roman" w:hAnsi="Times New Roman"/>
          <w:i w:val="1"/>
          <w:color w:val="0e101a"/>
          <w:sz w:val="24"/>
          <w:szCs w:val="24"/>
          <w:rtl w:val="0"/>
        </w:rPr>
        <w:t xml:space="preserve">Magdalen</w:t>
      </w:r>
      <w:r w:rsidDel="00000000" w:rsidR="00000000" w:rsidRPr="00000000">
        <w:rPr>
          <w:rFonts w:ascii="Times New Roman" w:cs="Times New Roman" w:eastAsia="Times New Roman" w:hAnsi="Times New Roman"/>
          <w:color w:val="0e101a"/>
          <w:sz w:val="24"/>
          <w:szCs w:val="24"/>
          <w:rtl w:val="0"/>
        </w:rPr>
        <w:t xml:space="preserve">, DeCamp stripped away excess and leaned into rigor. For his contemporaries, especially those navigating the post-academic, pre-modern space of American art, </w:t>
      </w:r>
      <w:r w:rsidDel="00000000" w:rsidR="00000000" w:rsidRPr="00000000">
        <w:rPr>
          <w:rFonts w:ascii="Times New Roman" w:cs="Times New Roman" w:eastAsia="Times New Roman" w:hAnsi="Times New Roman"/>
          <w:i w:val="1"/>
          <w:color w:val="0e101a"/>
          <w:sz w:val="24"/>
          <w:szCs w:val="24"/>
          <w:rtl w:val="0"/>
        </w:rPr>
        <w:t xml:space="preserve">Woman Drying Her Hair</w:t>
      </w:r>
      <w:r w:rsidDel="00000000" w:rsidR="00000000" w:rsidRPr="00000000">
        <w:rPr>
          <w:rFonts w:ascii="Times New Roman" w:cs="Times New Roman" w:eastAsia="Times New Roman" w:hAnsi="Times New Roman"/>
          <w:color w:val="0e101a"/>
          <w:sz w:val="24"/>
          <w:szCs w:val="24"/>
          <w:rtl w:val="0"/>
        </w:rPr>
        <w:t xml:space="preserve"> was a revelation. It demonstrated that American painters could rival their European counterparts not through imitation or spectacle, but by internalizing tradition and quietly bending it toward innovation.</w:t>
      </w:r>
    </w:p>
    <w:p w:rsidR="00000000" w:rsidDel="00000000" w:rsidP="00000000" w:rsidRDefault="00000000" w:rsidRPr="00000000" w14:paraId="00000011">
      <w:pPr>
        <w:spacing w:line="480" w:lineRule="auto"/>
        <w:ind w:firstLine="720"/>
        <w:rPr>
          <w:rFonts w:ascii="Times New Roman" w:cs="Times New Roman" w:eastAsia="Times New Roman" w:hAnsi="Times New Roman"/>
          <w:color w:val="0e101a"/>
          <w:sz w:val="24"/>
          <w:szCs w:val="24"/>
        </w:rPr>
      </w:pPr>
      <w:r w:rsidDel="00000000" w:rsidR="00000000" w:rsidRPr="00000000">
        <w:rPr>
          <w:rFonts w:ascii="Times New Roman" w:cs="Times New Roman" w:eastAsia="Times New Roman" w:hAnsi="Times New Roman"/>
          <w:color w:val="0e101a"/>
          <w:sz w:val="24"/>
          <w:szCs w:val="24"/>
          <w:rtl w:val="0"/>
        </w:rPr>
        <w:t xml:space="preserve">After this pivotal work, DeCamp’s style underwent a marked evolution. In the mid-nineties the American Impressionist, Theodore Robinson, William Merritt Chase and DeCamp all taught in the school of the Pennsylvania Academy.</w:t>
      </w:r>
      <w:r w:rsidDel="00000000" w:rsidR="00000000" w:rsidRPr="00000000">
        <w:rPr>
          <w:rFonts w:ascii="Times New Roman" w:cs="Times New Roman" w:eastAsia="Times New Roman" w:hAnsi="Times New Roman"/>
          <w:color w:val="0e101a"/>
          <w:sz w:val="24"/>
          <w:szCs w:val="24"/>
          <w:vertAlign w:val="superscript"/>
        </w:rPr>
        <w:footnoteReference w:customMarkFollows="0" w:id="17"/>
      </w:r>
      <w:r w:rsidDel="00000000" w:rsidR="00000000" w:rsidRPr="00000000">
        <w:rPr>
          <w:rFonts w:ascii="Times New Roman" w:cs="Times New Roman" w:eastAsia="Times New Roman" w:hAnsi="Times New Roman"/>
          <w:color w:val="0e101a"/>
          <w:sz w:val="24"/>
          <w:szCs w:val="24"/>
          <w:rtl w:val="0"/>
        </w:rPr>
        <w:t xml:space="preserve"> He turned toward more modest portrayals of the figure—often clothed—and adopted the lighter palettes and broken brushwork characteristic of Impressionism. The academy recognized DeCamps and his peers' talents relatively early, but as an artist, not necessarily an impressionist artist as the Academy was not yet a driving force in this promotion of style in America.</w:t>
      </w:r>
      <w:r w:rsidDel="00000000" w:rsidR="00000000" w:rsidRPr="00000000">
        <w:rPr>
          <w:rFonts w:ascii="Times New Roman" w:cs="Times New Roman" w:eastAsia="Times New Roman" w:hAnsi="Times New Roman"/>
          <w:color w:val="0e101a"/>
          <w:sz w:val="24"/>
          <w:szCs w:val="24"/>
          <w:vertAlign w:val="superscript"/>
        </w:rPr>
        <w:footnoteReference w:customMarkFollows="0" w:id="18"/>
      </w:r>
      <w:r w:rsidDel="00000000" w:rsidR="00000000" w:rsidRPr="00000000">
        <w:rPr>
          <w:rFonts w:ascii="Times New Roman" w:cs="Times New Roman" w:eastAsia="Times New Roman" w:hAnsi="Times New Roman"/>
          <w:color w:val="0e101a"/>
          <w:sz w:val="24"/>
          <w:szCs w:val="24"/>
          <w:rtl w:val="0"/>
        </w:rPr>
        <w:t xml:space="preserve"> This shift was not a retreat from complexity but a continuation of his search for expressive clarity. As a founding member of </w:t>
      </w:r>
      <w:r w:rsidDel="00000000" w:rsidR="00000000" w:rsidRPr="00000000">
        <w:rPr>
          <w:rFonts w:ascii="Times New Roman" w:cs="Times New Roman" w:eastAsia="Times New Roman" w:hAnsi="Times New Roman"/>
          <w:i w:val="1"/>
          <w:color w:val="0e101a"/>
          <w:sz w:val="24"/>
          <w:szCs w:val="24"/>
          <w:rtl w:val="0"/>
        </w:rPr>
        <w:t xml:space="preserve">The Ten American Painters</w:t>
      </w:r>
      <w:r w:rsidDel="00000000" w:rsidR="00000000" w:rsidRPr="00000000">
        <w:rPr>
          <w:rFonts w:ascii="Times New Roman" w:cs="Times New Roman" w:eastAsia="Times New Roman" w:hAnsi="Times New Roman"/>
          <w:color w:val="0e101a"/>
          <w:sz w:val="24"/>
          <w:szCs w:val="24"/>
          <w:rtl w:val="0"/>
        </w:rPr>
        <w:t xml:space="preserve">, DeCamp joined artists like Childe Hassam and Edmund Tarbell in rejecting the rigidity of academic juries and embracing more personal, atmospheric modes of painting. Joseph DeCamp’s involvement with </w:t>
      </w:r>
      <w:r w:rsidDel="00000000" w:rsidR="00000000" w:rsidRPr="00000000">
        <w:rPr>
          <w:rFonts w:ascii="Times New Roman" w:cs="Times New Roman" w:eastAsia="Times New Roman" w:hAnsi="Times New Roman"/>
          <w:i w:val="1"/>
          <w:color w:val="0e101a"/>
          <w:sz w:val="24"/>
          <w:szCs w:val="24"/>
          <w:rtl w:val="0"/>
        </w:rPr>
        <w:t xml:space="preserve">The Ten American Painters</w:t>
      </w:r>
      <w:r w:rsidDel="00000000" w:rsidR="00000000" w:rsidRPr="00000000">
        <w:rPr>
          <w:rFonts w:ascii="Times New Roman" w:cs="Times New Roman" w:eastAsia="Times New Roman" w:hAnsi="Times New Roman"/>
          <w:color w:val="0e101a"/>
          <w:sz w:val="24"/>
          <w:szCs w:val="24"/>
          <w:rtl w:val="0"/>
        </w:rPr>
        <w:t xml:space="preserve"> placed him at the heart of a pivotal moment in American art history. While many members of the group, such as Childe Hassam and Frank W. Benson, leaned heavily into American Impressionism</w:t>
      </w:r>
      <w:r w:rsidDel="00000000" w:rsidR="00000000" w:rsidRPr="00000000">
        <w:rPr>
          <w:rFonts w:ascii="Times New Roman" w:cs="Times New Roman" w:eastAsia="Times New Roman" w:hAnsi="Times New Roman"/>
          <w:color w:val="0e101a"/>
          <w:sz w:val="24"/>
          <w:szCs w:val="24"/>
          <w:vertAlign w:val="superscript"/>
        </w:rPr>
        <w:footnoteReference w:customMarkFollows="0" w:id="19"/>
      </w:r>
      <w:r w:rsidDel="00000000" w:rsidR="00000000" w:rsidRPr="00000000">
        <w:rPr>
          <w:rFonts w:ascii="Times New Roman" w:cs="Times New Roman" w:eastAsia="Times New Roman" w:hAnsi="Times New Roman"/>
          <w:color w:val="0e101a"/>
          <w:sz w:val="24"/>
          <w:szCs w:val="24"/>
          <w:rtl w:val="0"/>
        </w:rPr>
        <w:t xml:space="preserve">DeCamp retained a strong academic foundation rooted in his Munich training. His work bridges the gap between the traditionalism of academic art and the freer brushwork and personal vision championed by the Impressionists. </w:t>
      </w:r>
      <w:r w:rsidDel="00000000" w:rsidR="00000000" w:rsidRPr="00000000">
        <w:rPr>
          <w:rFonts w:ascii="Times New Roman" w:cs="Times New Roman" w:eastAsia="Times New Roman" w:hAnsi="Times New Roman"/>
          <w:i w:val="1"/>
          <w:color w:val="0e101a"/>
          <w:sz w:val="24"/>
          <w:szCs w:val="24"/>
          <w:rtl w:val="0"/>
        </w:rPr>
        <w:t xml:space="preserve">Woman Drying Her Hair</w:t>
      </w:r>
      <w:r w:rsidDel="00000000" w:rsidR="00000000" w:rsidRPr="00000000">
        <w:rPr>
          <w:rFonts w:ascii="Times New Roman" w:cs="Times New Roman" w:eastAsia="Times New Roman" w:hAnsi="Times New Roman"/>
          <w:color w:val="0e101a"/>
          <w:sz w:val="24"/>
          <w:szCs w:val="24"/>
          <w:rtl w:val="0"/>
        </w:rPr>
        <w:t xml:space="preserve">, painted in the same year </w:t>
      </w:r>
      <w:r w:rsidDel="00000000" w:rsidR="00000000" w:rsidRPr="00000000">
        <w:rPr>
          <w:rFonts w:ascii="Times New Roman" w:cs="Times New Roman" w:eastAsia="Times New Roman" w:hAnsi="Times New Roman"/>
          <w:i w:val="1"/>
          <w:color w:val="0e101a"/>
          <w:sz w:val="24"/>
          <w:szCs w:val="24"/>
          <w:rtl w:val="0"/>
        </w:rPr>
        <w:t xml:space="preserve">The Ten</w:t>
      </w:r>
      <w:r w:rsidDel="00000000" w:rsidR="00000000" w:rsidRPr="00000000">
        <w:rPr>
          <w:rFonts w:ascii="Times New Roman" w:cs="Times New Roman" w:eastAsia="Times New Roman" w:hAnsi="Times New Roman"/>
          <w:color w:val="0e101a"/>
          <w:sz w:val="24"/>
          <w:szCs w:val="24"/>
          <w:rtl w:val="0"/>
        </w:rPr>
        <w:t xml:space="preserve"> was formed, can be interpreted as DeCamp’s manifesto—both technically accomplished and stylistically restrained, it asserts that innovation need not mean abandoning structure. In the context of </w:t>
      </w:r>
      <w:r w:rsidDel="00000000" w:rsidR="00000000" w:rsidRPr="00000000">
        <w:rPr>
          <w:rFonts w:ascii="Times New Roman" w:cs="Times New Roman" w:eastAsia="Times New Roman" w:hAnsi="Times New Roman"/>
          <w:i w:val="1"/>
          <w:color w:val="0e101a"/>
          <w:sz w:val="24"/>
          <w:szCs w:val="24"/>
          <w:rtl w:val="0"/>
        </w:rPr>
        <w:t xml:space="preserve">The Ten</w:t>
      </w:r>
      <w:r w:rsidDel="00000000" w:rsidR="00000000" w:rsidRPr="00000000">
        <w:rPr>
          <w:rFonts w:ascii="Times New Roman" w:cs="Times New Roman" w:eastAsia="Times New Roman" w:hAnsi="Times New Roman"/>
          <w:color w:val="0e101a"/>
          <w:sz w:val="24"/>
          <w:szCs w:val="24"/>
          <w:rtl w:val="0"/>
        </w:rPr>
        <w:t xml:space="preserve">, DeCamp’s contribution was unique: he brought a solemn, rigorous vision to a group increasingly interested in light, leisure, and spontaneity.</w:t>
      </w:r>
    </w:p>
    <w:p w:rsidR="00000000" w:rsidDel="00000000" w:rsidP="00000000" w:rsidRDefault="00000000" w:rsidRPr="00000000" w14:paraId="00000012">
      <w:pPr>
        <w:spacing w:line="480" w:lineRule="auto"/>
        <w:ind w:firstLine="720"/>
        <w:rPr>
          <w:rFonts w:ascii="Times New Roman" w:cs="Times New Roman" w:eastAsia="Times New Roman" w:hAnsi="Times New Roman"/>
          <w:color w:val="0e101a"/>
          <w:sz w:val="24"/>
          <w:szCs w:val="24"/>
        </w:rPr>
      </w:pPr>
      <w:r w:rsidDel="00000000" w:rsidR="00000000" w:rsidRPr="00000000">
        <w:rPr>
          <w:rFonts w:ascii="Times New Roman" w:cs="Times New Roman" w:eastAsia="Times New Roman" w:hAnsi="Times New Roman"/>
          <w:color w:val="0e101a"/>
          <w:sz w:val="24"/>
          <w:szCs w:val="24"/>
          <w:rtl w:val="0"/>
        </w:rPr>
        <w:t xml:space="preserve">Yet, for all its quietness, </w:t>
      </w:r>
      <w:r w:rsidDel="00000000" w:rsidR="00000000" w:rsidRPr="00000000">
        <w:rPr>
          <w:rFonts w:ascii="Times New Roman" w:cs="Times New Roman" w:eastAsia="Times New Roman" w:hAnsi="Times New Roman"/>
          <w:i w:val="1"/>
          <w:color w:val="0e101a"/>
          <w:sz w:val="24"/>
          <w:szCs w:val="24"/>
          <w:rtl w:val="0"/>
        </w:rPr>
        <w:t xml:space="preserve">Woman Drying Her Hair</w:t>
      </w:r>
      <w:r w:rsidDel="00000000" w:rsidR="00000000" w:rsidRPr="00000000">
        <w:rPr>
          <w:rFonts w:ascii="Times New Roman" w:cs="Times New Roman" w:eastAsia="Times New Roman" w:hAnsi="Times New Roman"/>
          <w:color w:val="0e101a"/>
          <w:sz w:val="24"/>
          <w:szCs w:val="24"/>
          <w:rtl w:val="0"/>
        </w:rPr>
        <w:t xml:space="preserve"> remains one of DeCamp’s most enduring contributions. It is a work of culmination: a synthesis of his Munich training, his knowledge of European masters, and his American sensibility. Instead, it is about the body as a form, the act of painting as discipline, and the studio as a space of contemplation. It speaks to a moment when American artists were shedding the need to tell grand European stories and instead beginning to trust their formal instincts. In this light, </w:t>
      </w:r>
      <w:r w:rsidDel="00000000" w:rsidR="00000000" w:rsidRPr="00000000">
        <w:rPr>
          <w:rFonts w:ascii="Times New Roman" w:cs="Times New Roman" w:eastAsia="Times New Roman" w:hAnsi="Times New Roman"/>
          <w:i w:val="1"/>
          <w:color w:val="0e101a"/>
          <w:sz w:val="24"/>
          <w:szCs w:val="24"/>
          <w:rtl w:val="0"/>
        </w:rPr>
        <w:t xml:space="preserve">Woman Drying Her Hair</w:t>
      </w:r>
      <w:r w:rsidDel="00000000" w:rsidR="00000000" w:rsidRPr="00000000">
        <w:rPr>
          <w:rFonts w:ascii="Times New Roman" w:cs="Times New Roman" w:eastAsia="Times New Roman" w:hAnsi="Times New Roman"/>
          <w:color w:val="0e101a"/>
          <w:sz w:val="24"/>
          <w:szCs w:val="24"/>
          <w:rtl w:val="0"/>
        </w:rPr>
        <w:t xml:space="preserve"> resists easy classification. It is not wholly traditional—it lacks the decorative excess or allegorical depth of academic nudes. But neither is it radically modern—it does not seek to disrupt, shock, or dismantle conventions. Instead, it embodies the subtle tensions at the heart of American art at the turn of the 20th century: the push and pull between discipline and freedom, between public ambition and private exploration. Its strength lies not in what it overtly presents, but in what it carefully withholds. It does not ask to be admired for narrative or emotion but invites contemplation for its clarity of vision and its mastery of form. </w:t>
      </w:r>
      <w:r w:rsidDel="00000000" w:rsidR="00000000" w:rsidRPr="00000000">
        <w:rPr>
          <w:rFonts w:ascii="Times New Roman" w:cs="Times New Roman" w:eastAsia="Times New Roman" w:hAnsi="Times New Roman"/>
          <w:i w:val="1"/>
          <w:color w:val="0e101a"/>
          <w:sz w:val="24"/>
          <w:szCs w:val="24"/>
          <w:rtl w:val="0"/>
        </w:rPr>
        <w:t xml:space="preserve">Woman Drying Her Hair</w:t>
      </w:r>
      <w:r w:rsidDel="00000000" w:rsidR="00000000" w:rsidRPr="00000000">
        <w:rPr>
          <w:rFonts w:ascii="Times New Roman" w:cs="Times New Roman" w:eastAsia="Times New Roman" w:hAnsi="Times New Roman"/>
          <w:color w:val="0e101a"/>
          <w:sz w:val="24"/>
          <w:szCs w:val="24"/>
          <w:rtl w:val="0"/>
        </w:rPr>
        <w:t xml:space="preserve"> is, above all, a painter’s painting. It reminds us that sometimes, the most radical gesture an artist can make is not to shout, but to listen—to tradition.</w:t>
      </w:r>
    </w:p>
    <w:p w:rsidR="00000000" w:rsidDel="00000000" w:rsidP="00000000" w:rsidRDefault="00000000" w:rsidRPr="00000000" w14:paraId="00000013">
      <w:pPr>
        <w:spacing w:line="480" w:lineRule="auto"/>
        <w:ind w:firstLine="720"/>
        <w:rPr>
          <w:rFonts w:ascii="Times New Roman" w:cs="Times New Roman" w:eastAsia="Times New Roman" w:hAnsi="Times New Roman"/>
          <w:color w:val="0e101a"/>
          <w:sz w:val="24"/>
          <w:szCs w:val="24"/>
        </w:rPr>
      </w:pPr>
      <w:r w:rsidDel="00000000" w:rsidR="00000000" w:rsidRPr="00000000">
        <w:rPr>
          <w:rtl w:val="0"/>
        </w:rPr>
      </w:r>
    </w:p>
    <w:p w:rsidR="00000000" w:rsidDel="00000000" w:rsidP="00000000" w:rsidRDefault="00000000" w:rsidRPr="00000000" w14:paraId="00000014">
      <w:pPr>
        <w:spacing w:line="480" w:lineRule="auto"/>
        <w:ind w:firstLine="720"/>
        <w:rPr>
          <w:rFonts w:ascii="Times New Roman" w:cs="Times New Roman" w:eastAsia="Times New Roman" w:hAnsi="Times New Roman"/>
          <w:color w:val="0e101a"/>
          <w:sz w:val="24"/>
          <w:szCs w:val="24"/>
        </w:rPr>
      </w:pPr>
      <w:r w:rsidDel="00000000" w:rsidR="00000000" w:rsidRPr="00000000">
        <w:rPr>
          <w:rtl w:val="0"/>
        </w:rPr>
      </w:r>
    </w:p>
    <w:p w:rsidR="00000000" w:rsidDel="00000000" w:rsidP="00000000" w:rsidRDefault="00000000" w:rsidRPr="00000000" w14:paraId="00000015">
      <w:pPr>
        <w:spacing w:line="480" w:lineRule="auto"/>
        <w:ind w:firstLine="720"/>
        <w:rPr>
          <w:rFonts w:ascii="Times New Roman" w:cs="Times New Roman" w:eastAsia="Times New Roman" w:hAnsi="Times New Roman"/>
          <w:color w:val="0e101a"/>
          <w:sz w:val="24"/>
          <w:szCs w:val="24"/>
        </w:rPr>
      </w:pPr>
      <w:r w:rsidDel="00000000" w:rsidR="00000000" w:rsidRPr="00000000">
        <w:rPr>
          <w:rtl w:val="0"/>
        </w:rPr>
      </w:r>
    </w:p>
    <w:p w:rsidR="00000000" w:rsidDel="00000000" w:rsidP="00000000" w:rsidRDefault="00000000" w:rsidRPr="00000000" w14:paraId="00000016">
      <w:pPr>
        <w:spacing w:line="480" w:lineRule="auto"/>
        <w:ind w:firstLine="720"/>
        <w:rPr>
          <w:rFonts w:ascii="Times New Roman" w:cs="Times New Roman" w:eastAsia="Times New Roman" w:hAnsi="Times New Roman"/>
          <w:color w:val="0e101a"/>
          <w:sz w:val="24"/>
          <w:szCs w:val="24"/>
        </w:rPr>
      </w:pPr>
      <w:r w:rsidDel="00000000" w:rsidR="00000000" w:rsidRPr="00000000">
        <w:rPr>
          <w:rtl w:val="0"/>
        </w:rPr>
      </w:r>
    </w:p>
    <w:p w:rsidR="00000000" w:rsidDel="00000000" w:rsidP="00000000" w:rsidRDefault="00000000" w:rsidRPr="00000000" w14:paraId="00000017">
      <w:pPr>
        <w:spacing w:line="480" w:lineRule="auto"/>
        <w:ind w:firstLine="720"/>
        <w:rPr>
          <w:rFonts w:ascii="Times New Roman" w:cs="Times New Roman" w:eastAsia="Times New Roman" w:hAnsi="Times New Roman"/>
          <w:color w:val="0e101a"/>
          <w:sz w:val="24"/>
          <w:szCs w:val="24"/>
        </w:rPr>
      </w:pPr>
      <w:r w:rsidDel="00000000" w:rsidR="00000000" w:rsidRPr="00000000">
        <w:rPr>
          <w:rtl w:val="0"/>
        </w:rPr>
      </w:r>
    </w:p>
    <w:p w:rsidR="00000000" w:rsidDel="00000000" w:rsidP="00000000" w:rsidRDefault="00000000" w:rsidRPr="00000000" w14:paraId="00000018">
      <w:pPr>
        <w:spacing w:line="480" w:lineRule="auto"/>
        <w:ind w:firstLine="720"/>
        <w:rPr>
          <w:rFonts w:ascii="Times New Roman" w:cs="Times New Roman" w:eastAsia="Times New Roman" w:hAnsi="Times New Roman"/>
          <w:color w:val="0e101a"/>
          <w:sz w:val="24"/>
          <w:szCs w:val="24"/>
        </w:rPr>
      </w:pPr>
      <w:r w:rsidDel="00000000" w:rsidR="00000000" w:rsidRPr="00000000">
        <w:rPr>
          <w:rtl w:val="0"/>
        </w:rPr>
      </w:r>
    </w:p>
    <w:p w:rsidR="00000000" w:rsidDel="00000000" w:rsidP="00000000" w:rsidRDefault="00000000" w:rsidRPr="00000000" w14:paraId="00000019">
      <w:pPr>
        <w:spacing w:line="480" w:lineRule="auto"/>
        <w:ind w:firstLine="720"/>
        <w:rPr>
          <w:rFonts w:ascii="Times New Roman" w:cs="Times New Roman" w:eastAsia="Times New Roman" w:hAnsi="Times New Roman"/>
          <w:color w:val="0e101a"/>
          <w:sz w:val="24"/>
          <w:szCs w:val="24"/>
        </w:rPr>
      </w:pPr>
      <w:r w:rsidDel="00000000" w:rsidR="00000000" w:rsidRPr="00000000">
        <w:rPr>
          <w:rtl w:val="0"/>
        </w:rPr>
      </w:r>
    </w:p>
    <w:p w:rsidR="00000000" w:rsidDel="00000000" w:rsidP="00000000" w:rsidRDefault="00000000" w:rsidRPr="00000000" w14:paraId="0000001A">
      <w:pPr>
        <w:spacing w:line="480" w:lineRule="auto"/>
        <w:ind w:firstLine="720"/>
        <w:rPr>
          <w:rFonts w:ascii="Times New Roman" w:cs="Times New Roman" w:eastAsia="Times New Roman" w:hAnsi="Times New Roman"/>
          <w:color w:val="0e101a"/>
          <w:sz w:val="24"/>
          <w:szCs w:val="24"/>
        </w:rPr>
      </w:pPr>
      <w:r w:rsidDel="00000000" w:rsidR="00000000" w:rsidRPr="00000000">
        <w:rPr>
          <w:rtl w:val="0"/>
        </w:rPr>
      </w:r>
    </w:p>
    <w:p w:rsidR="00000000" w:rsidDel="00000000" w:rsidP="00000000" w:rsidRDefault="00000000" w:rsidRPr="00000000" w14:paraId="0000001B">
      <w:pPr>
        <w:spacing w:line="480" w:lineRule="auto"/>
        <w:ind w:firstLine="720"/>
        <w:rPr>
          <w:rFonts w:ascii="Times New Roman" w:cs="Times New Roman" w:eastAsia="Times New Roman" w:hAnsi="Times New Roman"/>
          <w:color w:val="0e101a"/>
          <w:sz w:val="24"/>
          <w:szCs w:val="24"/>
        </w:rPr>
      </w:pPr>
      <w:r w:rsidDel="00000000" w:rsidR="00000000" w:rsidRPr="00000000">
        <w:rPr>
          <w:rtl w:val="0"/>
        </w:rPr>
      </w:r>
    </w:p>
    <w:p w:rsidR="00000000" w:rsidDel="00000000" w:rsidP="00000000" w:rsidRDefault="00000000" w:rsidRPr="00000000" w14:paraId="0000001C">
      <w:pPr>
        <w:spacing w:line="480" w:lineRule="auto"/>
        <w:ind w:firstLine="720"/>
        <w:rPr>
          <w:rFonts w:ascii="Times New Roman" w:cs="Times New Roman" w:eastAsia="Times New Roman" w:hAnsi="Times New Roman"/>
          <w:color w:val="0e101a"/>
          <w:sz w:val="24"/>
          <w:szCs w:val="24"/>
        </w:rPr>
      </w:pPr>
      <w:r w:rsidDel="00000000" w:rsidR="00000000" w:rsidRPr="00000000">
        <w:rPr>
          <w:rtl w:val="0"/>
        </w:rPr>
      </w:r>
    </w:p>
    <w:p w:rsidR="00000000" w:rsidDel="00000000" w:rsidP="00000000" w:rsidRDefault="00000000" w:rsidRPr="00000000" w14:paraId="0000001D">
      <w:pPr>
        <w:spacing w:line="480" w:lineRule="auto"/>
        <w:ind w:firstLine="720"/>
        <w:rPr>
          <w:rFonts w:ascii="Times New Roman" w:cs="Times New Roman" w:eastAsia="Times New Roman" w:hAnsi="Times New Roman"/>
          <w:color w:val="0e101a"/>
          <w:sz w:val="24"/>
          <w:szCs w:val="24"/>
        </w:rPr>
      </w:pPr>
      <w:r w:rsidDel="00000000" w:rsidR="00000000" w:rsidRPr="00000000">
        <w:rPr>
          <w:rtl w:val="0"/>
        </w:rPr>
      </w:r>
    </w:p>
    <w:p w:rsidR="00000000" w:rsidDel="00000000" w:rsidP="00000000" w:rsidRDefault="00000000" w:rsidRPr="00000000" w14:paraId="0000001E">
      <w:pPr>
        <w:spacing w:line="480" w:lineRule="auto"/>
        <w:ind w:firstLine="720"/>
        <w:rPr>
          <w:rFonts w:ascii="Times New Roman" w:cs="Times New Roman" w:eastAsia="Times New Roman" w:hAnsi="Times New Roman"/>
          <w:color w:val="0e101a"/>
          <w:sz w:val="24"/>
          <w:szCs w:val="24"/>
        </w:rPr>
      </w:pPr>
      <w:r w:rsidDel="00000000" w:rsidR="00000000" w:rsidRPr="00000000">
        <w:rPr>
          <w:rtl w:val="0"/>
        </w:rPr>
      </w:r>
    </w:p>
    <w:p w:rsidR="00000000" w:rsidDel="00000000" w:rsidP="00000000" w:rsidRDefault="00000000" w:rsidRPr="00000000" w14:paraId="0000001F">
      <w:pPr>
        <w:spacing w:line="480" w:lineRule="auto"/>
        <w:ind w:firstLine="720"/>
        <w:rPr>
          <w:rFonts w:ascii="Times New Roman" w:cs="Times New Roman" w:eastAsia="Times New Roman" w:hAnsi="Times New Roman"/>
          <w:color w:val="0e101a"/>
          <w:sz w:val="24"/>
          <w:szCs w:val="24"/>
        </w:rPr>
      </w:pPr>
      <w:r w:rsidDel="00000000" w:rsidR="00000000" w:rsidRPr="00000000">
        <w:rPr>
          <w:rtl w:val="0"/>
        </w:rPr>
      </w:r>
    </w:p>
    <w:p w:rsidR="00000000" w:rsidDel="00000000" w:rsidP="00000000" w:rsidRDefault="00000000" w:rsidRPr="00000000" w14:paraId="00000020">
      <w:pPr>
        <w:spacing w:line="480" w:lineRule="auto"/>
        <w:ind w:firstLine="720"/>
        <w:rPr>
          <w:rFonts w:ascii="Times New Roman" w:cs="Times New Roman" w:eastAsia="Times New Roman" w:hAnsi="Times New Roman"/>
          <w:color w:val="0e101a"/>
          <w:sz w:val="24"/>
          <w:szCs w:val="24"/>
        </w:rPr>
      </w:pPr>
      <w:r w:rsidDel="00000000" w:rsidR="00000000" w:rsidRPr="00000000">
        <w:rPr>
          <w:rtl w:val="0"/>
        </w:rPr>
      </w:r>
    </w:p>
    <w:p w:rsidR="00000000" w:rsidDel="00000000" w:rsidP="00000000" w:rsidRDefault="00000000" w:rsidRPr="00000000" w14:paraId="00000021">
      <w:pPr>
        <w:spacing w:line="480" w:lineRule="auto"/>
        <w:ind w:firstLine="720"/>
        <w:rPr>
          <w:rFonts w:ascii="Times New Roman" w:cs="Times New Roman" w:eastAsia="Times New Roman" w:hAnsi="Times New Roman"/>
          <w:color w:val="0e101a"/>
          <w:sz w:val="24"/>
          <w:szCs w:val="24"/>
        </w:rPr>
      </w:pPr>
      <w:r w:rsidDel="00000000" w:rsidR="00000000" w:rsidRPr="00000000">
        <w:rPr>
          <w:rtl w:val="0"/>
        </w:rPr>
      </w:r>
    </w:p>
    <w:p w:rsidR="00000000" w:rsidDel="00000000" w:rsidP="00000000" w:rsidRDefault="00000000" w:rsidRPr="00000000" w14:paraId="00000022">
      <w:pPr>
        <w:spacing w:line="480" w:lineRule="auto"/>
        <w:ind w:firstLine="720"/>
        <w:rPr>
          <w:rFonts w:ascii="Times New Roman" w:cs="Times New Roman" w:eastAsia="Times New Roman" w:hAnsi="Times New Roman"/>
          <w:color w:val="0e101a"/>
          <w:sz w:val="24"/>
          <w:szCs w:val="24"/>
        </w:rPr>
      </w:pPr>
      <w:r w:rsidDel="00000000" w:rsidR="00000000" w:rsidRPr="00000000">
        <w:rPr>
          <w:rtl w:val="0"/>
        </w:rPr>
      </w:r>
    </w:p>
    <w:p w:rsidR="00000000" w:rsidDel="00000000" w:rsidP="00000000" w:rsidRDefault="00000000" w:rsidRPr="00000000" w14:paraId="00000023">
      <w:pPr>
        <w:spacing w:line="480" w:lineRule="auto"/>
        <w:ind w:firstLine="720"/>
        <w:rPr>
          <w:rFonts w:ascii="Times New Roman" w:cs="Times New Roman" w:eastAsia="Times New Roman" w:hAnsi="Times New Roman"/>
          <w:color w:val="0e101a"/>
          <w:sz w:val="24"/>
          <w:szCs w:val="24"/>
        </w:rPr>
      </w:pPr>
      <w:r w:rsidDel="00000000" w:rsidR="00000000" w:rsidRPr="00000000">
        <w:rPr>
          <w:rtl w:val="0"/>
        </w:rPr>
      </w:r>
    </w:p>
    <w:p w:rsidR="00000000" w:rsidDel="00000000" w:rsidP="00000000" w:rsidRDefault="00000000" w:rsidRPr="00000000" w14:paraId="00000024">
      <w:pPr>
        <w:spacing w:line="480" w:lineRule="auto"/>
        <w:ind w:firstLine="720"/>
        <w:rPr>
          <w:rFonts w:ascii="Times New Roman" w:cs="Times New Roman" w:eastAsia="Times New Roman" w:hAnsi="Times New Roman"/>
          <w:color w:val="0e101a"/>
          <w:sz w:val="24"/>
          <w:szCs w:val="24"/>
        </w:rPr>
      </w:pPr>
      <w:r w:rsidDel="00000000" w:rsidR="00000000" w:rsidRPr="00000000">
        <w:rPr>
          <w:rtl w:val="0"/>
        </w:rPr>
      </w:r>
    </w:p>
    <w:p w:rsidR="00000000" w:rsidDel="00000000" w:rsidP="00000000" w:rsidRDefault="00000000" w:rsidRPr="00000000" w14:paraId="00000025">
      <w:pPr>
        <w:spacing w:line="480" w:lineRule="auto"/>
        <w:ind w:firstLine="720"/>
        <w:rPr>
          <w:rFonts w:ascii="Times New Roman" w:cs="Times New Roman" w:eastAsia="Times New Roman" w:hAnsi="Times New Roman"/>
          <w:color w:val="0e101a"/>
          <w:sz w:val="24"/>
          <w:szCs w:val="24"/>
        </w:rPr>
      </w:pPr>
      <w:r w:rsidDel="00000000" w:rsidR="00000000" w:rsidRPr="00000000">
        <w:rPr>
          <w:rtl w:val="0"/>
        </w:rPr>
      </w:r>
    </w:p>
    <w:p w:rsidR="00000000" w:rsidDel="00000000" w:rsidP="00000000" w:rsidRDefault="00000000" w:rsidRPr="00000000" w14:paraId="00000026">
      <w:pPr>
        <w:spacing w:line="480" w:lineRule="auto"/>
        <w:ind w:left="0" w:firstLine="0"/>
        <w:rPr>
          <w:rFonts w:ascii="Times New Roman" w:cs="Times New Roman" w:eastAsia="Times New Roman" w:hAnsi="Times New Roman"/>
          <w:color w:val="0e101a"/>
          <w:sz w:val="24"/>
          <w:szCs w:val="24"/>
        </w:rPr>
      </w:pPr>
      <w:r w:rsidDel="00000000" w:rsidR="00000000" w:rsidRPr="00000000">
        <w:rPr>
          <w:rtl w:val="0"/>
        </w:rPr>
      </w:r>
    </w:p>
    <w:p w:rsidR="00000000" w:rsidDel="00000000" w:rsidP="00000000" w:rsidRDefault="00000000" w:rsidRPr="00000000" w14:paraId="00000027">
      <w:pPr>
        <w:spacing w:line="480" w:lineRule="auto"/>
        <w:ind w:left="0" w:firstLine="0"/>
        <w:rPr>
          <w:rFonts w:ascii="Times New Roman" w:cs="Times New Roman" w:eastAsia="Times New Roman" w:hAnsi="Times New Roman"/>
          <w:color w:val="0e101a"/>
          <w:sz w:val="24"/>
          <w:szCs w:val="24"/>
        </w:rPr>
      </w:pPr>
      <w:r w:rsidDel="00000000" w:rsidR="00000000" w:rsidRPr="00000000">
        <w:rPr>
          <w:rFonts w:ascii="Times New Roman" w:cs="Times New Roman" w:eastAsia="Times New Roman" w:hAnsi="Times New Roman"/>
          <w:color w:val="0e101a"/>
          <w:sz w:val="24"/>
          <w:szCs w:val="24"/>
          <w:rtl w:val="0"/>
        </w:rPr>
        <w:t xml:space="preserve">Bibliography </w:t>
      </w:r>
    </w:p>
    <w:p w:rsidR="00000000" w:rsidDel="00000000" w:rsidP="00000000" w:rsidRDefault="00000000" w:rsidRPr="00000000" w14:paraId="00000028">
      <w:pPr>
        <w:spacing w:after="240" w:before="240" w:lineRule="auto"/>
        <w:ind w:left="580" w:hanging="2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Berry, R. V. S. (1923, April). Joseph DeCamp: Painter and Man. </w:t>
      </w:r>
      <w:hyperlink r:id="rId7">
        <w:r w:rsidDel="00000000" w:rsidR="00000000" w:rsidRPr="00000000">
          <w:rPr>
            <w:rFonts w:ascii="Times New Roman" w:cs="Times New Roman" w:eastAsia="Times New Roman" w:hAnsi="Times New Roman"/>
            <w:color w:val="1155cc"/>
            <w:u w:val="single"/>
            <w:rtl w:val="0"/>
          </w:rPr>
          <w:t xml:space="preserve">https://www.jstor.org/stable/pdf/j.ctv13840b0.9.pdf?refreqid=fastly-default:b38d146a7d5e1af98f1259a2c628fc70&amp;amp=&amp;ab_segments=&amp;amp=&amp;origin=&amp;amp=&amp;initiator=&amp;amp=&amp;acceptTC=1</w:t>
        </w:r>
      </w:hyperlink>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29">
      <w:pPr>
        <w:spacing w:after="240" w:before="240" w:lineRule="auto"/>
        <w:ind w:left="580" w:hanging="2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Booth, B. R. (1971). </w:t>
      </w:r>
      <w:r w:rsidDel="00000000" w:rsidR="00000000" w:rsidRPr="00000000">
        <w:rPr>
          <w:rFonts w:ascii="Times New Roman" w:cs="Times New Roman" w:eastAsia="Times New Roman" w:hAnsi="Times New Roman"/>
          <w:i w:val="1"/>
          <w:rtl w:val="0"/>
        </w:rPr>
        <w:t xml:space="preserve">A Survey of Portraits and Figure Paintings by Frank Duveneck, 1848-1919</w:t>
      </w:r>
      <w:r w:rsidDel="00000000" w:rsidR="00000000" w:rsidRPr="00000000">
        <w:rPr>
          <w:rFonts w:ascii="Times New Roman" w:cs="Times New Roman" w:eastAsia="Times New Roman" w:hAnsi="Times New Roman"/>
          <w:rtl w:val="0"/>
        </w:rPr>
        <w:t xml:space="preserve">. uc.idm.oclc.org. </w:t>
      </w:r>
      <w:hyperlink r:id="rId8">
        <w:r w:rsidDel="00000000" w:rsidR="00000000" w:rsidRPr="00000000">
          <w:rPr>
            <w:rFonts w:ascii="Times New Roman" w:cs="Times New Roman" w:eastAsia="Times New Roman" w:hAnsi="Times New Roman"/>
            <w:color w:val="1155cc"/>
            <w:u w:val="single"/>
            <w:rtl w:val="0"/>
          </w:rPr>
          <w:t xml:space="preserve">https://uc.idm.oclc.org/login?qurl=https%3A%2F%2Fwww.proquest.com%2Fdissertations-theses%2Fsurvey-portraits-figure-paintings-frank-duveneck%2Fdocview%2F302525427%2Fse-2%3Faccountid%3D2909</w:t>
        </w:r>
      </w:hyperlink>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2A">
      <w:pPr>
        <w:spacing w:after="240" w:before="240" w:lineRule="auto"/>
        <w:ind w:left="580" w:hanging="2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Boyle, R. J. (n.d.). </w:t>
      </w:r>
      <w:r w:rsidDel="00000000" w:rsidR="00000000" w:rsidRPr="00000000">
        <w:rPr>
          <w:rFonts w:ascii="Times New Roman" w:cs="Times New Roman" w:eastAsia="Times New Roman" w:hAnsi="Times New Roman"/>
          <w:i w:val="1"/>
          <w:rtl w:val="0"/>
        </w:rPr>
        <w:t xml:space="preserve">American Impressionism</w:t>
      </w:r>
      <w:r w:rsidDel="00000000" w:rsidR="00000000" w:rsidRPr="00000000">
        <w:rPr>
          <w:rFonts w:ascii="Times New Roman" w:cs="Times New Roman" w:eastAsia="Times New Roman" w:hAnsi="Times New Roman"/>
          <w:rtl w:val="0"/>
        </w:rPr>
        <w:t xml:space="preserve">. American Impressionism; essay by Richard J. Boyle. </w:t>
      </w:r>
      <w:hyperlink r:id="rId9">
        <w:r w:rsidDel="00000000" w:rsidR="00000000" w:rsidRPr="00000000">
          <w:rPr>
            <w:rFonts w:ascii="Times New Roman" w:cs="Times New Roman" w:eastAsia="Times New Roman" w:hAnsi="Times New Roman"/>
            <w:color w:val="1155cc"/>
            <w:u w:val="single"/>
            <w:rtl w:val="0"/>
          </w:rPr>
          <w:t xml:space="preserve">https://tfaoi.org/aa/8aa/8aa145.htm</w:t>
        </w:r>
      </w:hyperlink>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2B">
      <w:pPr>
        <w:spacing w:after="240" w:before="240" w:lineRule="auto"/>
        <w:ind w:left="580" w:hanging="2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Buckley, L. (1996). </w:t>
      </w:r>
      <w:r w:rsidDel="00000000" w:rsidR="00000000" w:rsidRPr="00000000">
        <w:rPr>
          <w:rFonts w:ascii="Times New Roman" w:cs="Times New Roman" w:eastAsia="Times New Roman" w:hAnsi="Times New Roman"/>
          <w:i w:val="1"/>
          <w:rtl w:val="0"/>
        </w:rPr>
        <w:t xml:space="preserve">Joseph Rodefer DeCamp (1858-1923): The Boston Technician </w:t>
      </w:r>
      <w:r w:rsidDel="00000000" w:rsidR="00000000" w:rsidRPr="00000000">
        <w:rPr>
          <w:rFonts w:ascii="Times New Roman" w:cs="Times New Roman" w:eastAsia="Times New Roman" w:hAnsi="Times New Roman"/>
          <w:rtl w:val="0"/>
        </w:rPr>
        <w:t xml:space="preserve">. uc.idm.oclc.org. </w:t>
      </w:r>
      <w:hyperlink r:id="rId10">
        <w:r w:rsidDel="00000000" w:rsidR="00000000" w:rsidRPr="00000000">
          <w:rPr>
            <w:rFonts w:ascii="Times New Roman" w:cs="Times New Roman" w:eastAsia="Times New Roman" w:hAnsi="Times New Roman"/>
            <w:color w:val="1155cc"/>
            <w:u w:val="single"/>
            <w:rtl w:val="0"/>
          </w:rPr>
          <w:t xml:space="preserve">https://uc.idm.oclc.org/login?qurl=https%3A%2F%2Fwww.proquest.com%2Fdissertations-theses%2Fjoseph-rodefer-decamp-1858-1923-boston-technician%2Fdocview%2F304295203%2Fse-2%3Faccountid%3D2909</w:t>
        </w:r>
      </w:hyperlink>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2C">
      <w:pPr>
        <w:spacing w:after="240" w:before="240" w:lineRule="auto"/>
        <w:ind w:left="580" w:hanging="2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Downes, W. H. (1913, April). Joseph DeCamp and His Works. </w:t>
      </w:r>
      <w:hyperlink r:id="rId11">
        <w:r w:rsidDel="00000000" w:rsidR="00000000" w:rsidRPr="00000000">
          <w:rPr>
            <w:rFonts w:ascii="Times New Roman" w:cs="Times New Roman" w:eastAsia="Times New Roman" w:hAnsi="Times New Roman"/>
            <w:color w:val="1155cc"/>
            <w:u w:val="single"/>
            <w:rtl w:val="0"/>
          </w:rPr>
          <w:t xml:space="preserve">https://www.jstor.org/stable/pdf/j.ctv13840b0.9.pdf?refreqid=fastly-default:b38d146a7d5e1af98f1259a2c628fc70&amp;amp=&amp;ab_segments=&amp;amp=&amp;origin=&amp;amp=&amp;initiator=&amp;amp=&amp;acceptTC=1</w:t>
        </w:r>
      </w:hyperlink>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2D">
      <w:pPr>
        <w:spacing w:after="240" w:before="240" w:lineRule="auto"/>
        <w:ind w:left="580" w:hanging="2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Gerdts, W. H. (1984). </w:t>
      </w:r>
      <w:r w:rsidDel="00000000" w:rsidR="00000000" w:rsidRPr="00000000">
        <w:rPr>
          <w:rFonts w:ascii="Times New Roman" w:cs="Times New Roman" w:eastAsia="Times New Roman" w:hAnsi="Times New Roman"/>
          <w:i w:val="1"/>
          <w:rtl w:val="0"/>
        </w:rPr>
        <w:t xml:space="preserve">American impressionism</w:t>
      </w:r>
      <w:r w:rsidDel="00000000" w:rsidR="00000000" w:rsidRPr="00000000">
        <w:rPr>
          <w:rFonts w:ascii="Times New Roman" w:cs="Times New Roman" w:eastAsia="Times New Roman" w:hAnsi="Times New Roman"/>
          <w:rtl w:val="0"/>
        </w:rPr>
        <w:t xml:space="preserve">. Abbeville Press. </w:t>
      </w:r>
    </w:p>
    <w:p w:rsidR="00000000" w:rsidDel="00000000" w:rsidP="00000000" w:rsidRDefault="00000000" w:rsidRPr="00000000" w14:paraId="0000002E">
      <w:pPr>
        <w:spacing w:after="240" w:before="240" w:line="240" w:lineRule="auto"/>
        <w:ind w:left="580" w:hanging="20"/>
        <w:rPr>
          <w:rFonts w:ascii="Times New Roman" w:cs="Times New Roman" w:eastAsia="Times New Roman" w:hAnsi="Times New Roman"/>
          <w:color w:val="0e101a"/>
          <w:sz w:val="24"/>
          <w:szCs w:val="24"/>
        </w:rPr>
      </w:pPr>
      <w:r w:rsidDel="00000000" w:rsidR="00000000" w:rsidRPr="00000000">
        <w:rPr>
          <w:rFonts w:ascii="Times New Roman" w:cs="Times New Roman" w:eastAsia="Times New Roman" w:hAnsi="Times New Roman"/>
          <w:color w:val="0e101a"/>
          <w:sz w:val="24"/>
          <w:szCs w:val="24"/>
          <w:rtl w:val="0"/>
        </w:rPr>
        <w:t xml:space="preserve">The Evening Post, New York . (1899, April 6), p. 6. </w:t>
      </w:r>
      <w:hyperlink r:id="rId12">
        <w:r w:rsidDel="00000000" w:rsidR="00000000" w:rsidRPr="00000000">
          <w:rPr>
            <w:rFonts w:ascii="Times New Roman" w:cs="Times New Roman" w:eastAsia="Times New Roman" w:hAnsi="Times New Roman"/>
            <w:color w:val="1155cc"/>
            <w:sz w:val="24"/>
            <w:szCs w:val="24"/>
            <w:u w:val="single"/>
            <w:rtl w:val="0"/>
          </w:rPr>
          <w:t xml:space="preserve">https://www.nyshistoricnewspapers.org/?a=d&amp;d=evpo18990406-01.1.2&amp;e=-------en-20--1--txt-txIN----------</w:t>
        </w:r>
      </w:hyperlink>
      <w:r w:rsidDel="00000000" w:rsidR="00000000" w:rsidRPr="00000000">
        <w:rPr>
          <w:rtl w:val="0"/>
        </w:rPr>
      </w:r>
    </w:p>
    <w:p w:rsidR="00000000" w:rsidDel="00000000" w:rsidP="00000000" w:rsidRDefault="00000000" w:rsidRPr="00000000" w14:paraId="0000002F">
      <w:pPr>
        <w:spacing w:line="480" w:lineRule="auto"/>
        <w:ind w:left="0" w:firstLine="0"/>
        <w:rPr>
          <w:rFonts w:ascii="Times New Roman" w:cs="Times New Roman" w:eastAsia="Times New Roman" w:hAnsi="Times New Roman"/>
          <w:color w:val="0e101a"/>
          <w:sz w:val="24"/>
          <w:szCs w:val="24"/>
        </w:rPr>
      </w:pPr>
      <w:r w:rsidDel="00000000" w:rsidR="00000000" w:rsidRPr="00000000">
        <w:rPr>
          <w:rtl w:val="0"/>
        </w:rPr>
      </w:r>
    </w:p>
    <w:p w:rsidR="00000000" w:rsidDel="00000000" w:rsidP="00000000" w:rsidRDefault="00000000" w:rsidRPr="00000000" w14:paraId="00000030">
      <w:pPr>
        <w:spacing w:line="480" w:lineRule="auto"/>
        <w:ind w:left="0" w:firstLine="72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1">
      <w:pPr>
        <w:spacing w:line="240" w:lineRule="auto"/>
        <w:ind w:left="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2">
      <w:pPr>
        <w:spacing w:line="240" w:lineRule="auto"/>
        <w:ind w:left="0" w:firstLine="0"/>
        <w:rPr>
          <w:rFonts w:ascii="Times New Roman" w:cs="Times New Roman" w:eastAsia="Times New Roman" w:hAnsi="Times New Roman"/>
          <w:sz w:val="24"/>
          <w:szCs w:val="24"/>
        </w:rPr>
      </w:pPr>
      <w:r w:rsidDel="00000000" w:rsidR="00000000" w:rsidRPr="00000000">
        <w:rPr>
          <w:rtl w:val="0"/>
        </w:rPr>
      </w:r>
    </w:p>
    <w:sectPr>
      <w:footerReference r:id="rId13"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5">
    <w:pPr>
      <w:rPr/>
    </w:pPr>
    <w:r w:rsidDel="00000000" w:rsidR="00000000" w:rsidRPr="00000000">
      <w:rPr>
        <w:rtl w:val="0"/>
      </w:rPr>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otnote w:id="1">
    <w:p w:rsidR="00000000" w:rsidDel="00000000" w:rsidP="00000000" w:rsidRDefault="00000000" w:rsidRPr="00000000" w14:paraId="00000033">
      <w:pPr>
        <w:spacing w:line="240" w:lineRule="auto"/>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Downs, W. H. (1913, April). Joseph DeCamp and His Works</w:t>
      </w:r>
    </w:p>
  </w:footnote>
  <w:footnote w:id="2">
    <w:p w:rsidR="00000000" w:rsidDel="00000000" w:rsidP="00000000" w:rsidRDefault="00000000" w:rsidRPr="00000000" w14:paraId="00000034">
      <w:pPr>
        <w:spacing w:line="240" w:lineRule="auto"/>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rFonts w:ascii="Times New Roman" w:cs="Times New Roman" w:eastAsia="Times New Roman" w:hAnsi="Times New Roman"/>
          <w:sz w:val="20"/>
          <w:szCs w:val="20"/>
          <w:rtl w:val="0"/>
        </w:rPr>
        <w:t xml:space="preserve">Cincinnati Art Museum Archives </w:t>
      </w:r>
    </w:p>
  </w:footnote>
  <w:footnote w:id="4">
    <w:p w:rsidR="00000000" w:rsidDel="00000000" w:rsidP="00000000" w:rsidRDefault="00000000" w:rsidRPr="00000000" w14:paraId="00000035">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rFonts w:ascii="Times New Roman" w:cs="Times New Roman" w:eastAsia="Times New Roman" w:hAnsi="Times New Roman"/>
          <w:sz w:val="20"/>
          <w:szCs w:val="20"/>
          <w:rtl w:val="0"/>
        </w:rPr>
        <w:t xml:space="preserve">Berry, R. V. S. (1923, April). Joseph DeCamp: Painter and Man.</w:t>
      </w:r>
      <w:r w:rsidDel="00000000" w:rsidR="00000000" w:rsidRPr="00000000">
        <w:rPr>
          <w:rtl w:val="0"/>
        </w:rPr>
      </w:r>
    </w:p>
  </w:footnote>
  <w:footnote w:id="5">
    <w:p w:rsidR="00000000" w:rsidDel="00000000" w:rsidP="00000000" w:rsidRDefault="00000000" w:rsidRPr="00000000" w14:paraId="00000036">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rFonts w:ascii="Times New Roman" w:cs="Times New Roman" w:eastAsia="Times New Roman" w:hAnsi="Times New Roman"/>
          <w:sz w:val="20"/>
          <w:szCs w:val="20"/>
          <w:rtl w:val="0"/>
        </w:rPr>
        <w:t xml:space="preserve">Buckley, L. (1996). </w:t>
      </w:r>
      <w:r w:rsidDel="00000000" w:rsidR="00000000" w:rsidRPr="00000000">
        <w:rPr>
          <w:rFonts w:ascii="Times New Roman" w:cs="Times New Roman" w:eastAsia="Times New Roman" w:hAnsi="Times New Roman"/>
          <w:i w:val="1"/>
          <w:sz w:val="20"/>
          <w:szCs w:val="20"/>
          <w:rtl w:val="0"/>
        </w:rPr>
        <w:t xml:space="preserve">Joseph Rodefer DeCamp (1858-1923): The Boston Technician</w:t>
      </w:r>
      <w:r w:rsidDel="00000000" w:rsidR="00000000" w:rsidRPr="00000000">
        <w:rPr>
          <w:rtl w:val="0"/>
        </w:rPr>
      </w:r>
    </w:p>
  </w:footnote>
  <w:footnote w:id="6">
    <w:p w:rsidR="00000000" w:rsidDel="00000000" w:rsidP="00000000" w:rsidRDefault="00000000" w:rsidRPr="00000000" w14:paraId="00000037">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rFonts w:ascii="Times New Roman" w:cs="Times New Roman" w:eastAsia="Times New Roman" w:hAnsi="Times New Roman"/>
          <w:sz w:val="20"/>
          <w:szCs w:val="20"/>
          <w:rtl w:val="0"/>
        </w:rPr>
        <w:t xml:space="preserve">Boyle, R. J. (n.d.). </w:t>
      </w:r>
      <w:r w:rsidDel="00000000" w:rsidR="00000000" w:rsidRPr="00000000">
        <w:rPr>
          <w:rFonts w:ascii="Times New Roman" w:cs="Times New Roman" w:eastAsia="Times New Roman" w:hAnsi="Times New Roman"/>
          <w:i w:val="1"/>
          <w:sz w:val="20"/>
          <w:szCs w:val="20"/>
          <w:rtl w:val="0"/>
        </w:rPr>
        <w:t xml:space="preserve">American Impressionism</w:t>
      </w:r>
      <w:r w:rsidDel="00000000" w:rsidR="00000000" w:rsidRPr="00000000">
        <w:rPr>
          <w:rFonts w:ascii="Times New Roman" w:cs="Times New Roman" w:eastAsia="Times New Roman" w:hAnsi="Times New Roman"/>
          <w:sz w:val="20"/>
          <w:szCs w:val="20"/>
          <w:rtl w:val="0"/>
        </w:rPr>
        <w:t xml:space="preserve">. American Impressionism; essay by Richard J. Boyle.</w:t>
      </w:r>
      <w:r w:rsidDel="00000000" w:rsidR="00000000" w:rsidRPr="00000000">
        <w:rPr>
          <w:rtl w:val="0"/>
        </w:rPr>
      </w:r>
    </w:p>
  </w:footnote>
  <w:footnote w:id="7">
    <w:p w:rsidR="00000000" w:rsidDel="00000000" w:rsidP="00000000" w:rsidRDefault="00000000" w:rsidRPr="00000000" w14:paraId="00000038">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rFonts w:ascii="Times New Roman" w:cs="Times New Roman" w:eastAsia="Times New Roman" w:hAnsi="Times New Roman"/>
          <w:sz w:val="20"/>
          <w:szCs w:val="20"/>
          <w:rtl w:val="0"/>
        </w:rPr>
        <w:t xml:space="preserve">Booth, B. R. (1971). </w:t>
      </w:r>
      <w:r w:rsidDel="00000000" w:rsidR="00000000" w:rsidRPr="00000000">
        <w:rPr>
          <w:rFonts w:ascii="Times New Roman" w:cs="Times New Roman" w:eastAsia="Times New Roman" w:hAnsi="Times New Roman"/>
          <w:i w:val="1"/>
          <w:sz w:val="20"/>
          <w:szCs w:val="20"/>
          <w:rtl w:val="0"/>
        </w:rPr>
        <w:t xml:space="preserve">A Survey of Portraits and Figure Paintings by Frank Duveneck, 1848-1919</w:t>
      </w:r>
      <w:r w:rsidDel="00000000" w:rsidR="00000000" w:rsidRPr="00000000">
        <w:rPr>
          <w:rFonts w:ascii="Times New Roman" w:cs="Times New Roman" w:eastAsia="Times New Roman" w:hAnsi="Times New Roman"/>
          <w:sz w:val="20"/>
          <w:szCs w:val="20"/>
          <w:rtl w:val="0"/>
        </w:rPr>
        <w:t xml:space="preserve">.</w:t>
      </w:r>
      <w:r w:rsidDel="00000000" w:rsidR="00000000" w:rsidRPr="00000000">
        <w:rPr>
          <w:rtl w:val="0"/>
        </w:rPr>
      </w:r>
    </w:p>
  </w:footnote>
  <w:footnote w:id="8">
    <w:p w:rsidR="00000000" w:rsidDel="00000000" w:rsidP="00000000" w:rsidRDefault="00000000" w:rsidRPr="00000000" w14:paraId="00000039">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rFonts w:ascii="Times New Roman" w:cs="Times New Roman" w:eastAsia="Times New Roman" w:hAnsi="Times New Roman"/>
          <w:sz w:val="20"/>
          <w:szCs w:val="20"/>
          <w:rtl w:val="0"/>
        </w:rPr>
        <w:t xml:space="preserve">Booth, B. R. (1971). </w:t>
      </w:r>
      <w:r w:rsidDel="00000000" w:rsidR="00000000" w:rsidRPr="00000000">
        <w:rPr>
          <w:rFonts w:ascii="Times New Roman" w:cs="Times New Roman" w:eastAsia="Times New Roman" w:hAnsi="Times New Roman"/>
          <w:i w:val="1"/>
          <w:sz w:val="20"/>
          <w:szCs w:val="20"/>
          <w:rtl w:val="0"/>
        </w:rPr>
        <w:t xml:space="preserve">A Survey of Portraits and Figure Paintings by Frank Duveneck, 1848-1919</w:t>
      </w:r>
      <w:r w:rsidDel="00000000" w:rsidR="00000000" w:rsidRPr="00000000">
        <w:rPr>
          <w:rFonts w:ascii="Times New Roman" w:cs="Times New Roman" w:eastAsia="Times New Roman" w:hAnsi="Times New Roman"/>
          <w:sz w:val="20"/>
          <w:szCs w:val="20"/>
          <w:rtl w:val="0"/>
        </w:rPr>
        <w:t xml:space="preserve">.</w:t>
      </w:r>
      <w:r w:rsidDel="00000000" w:rsidR="00000000" w:rsidRPr="00000000">
        <w:rPr>
          <w:rtl w:val="0"/>
        </w:rPr>
      </w:r>
    </w:p>
  </w:footnote>
  <w:footnote w:id="9">
    <w:p w:rsidR="00000000" w:rsidDel="00000000" w:rsidP="00000000" w:rsidRDefault="00000000" w:rsidRPr="00000000" w14:paraId="0000003A">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rFonts w:ascii="Times New Roman" w:cs="Times New Roman" w:eastAsia="Times New Roman" w:hAnsi="Times New Roman"/>
          <w:sz w:val="20"/>
          <w:szCs w:val="20"/>
          <w:rtl w:val="0"/>
        </w:rPr>
        <w:t xml:space="preserve">Booth, B. R. (1971). </w:t>
      </w:r>
      <w:r w:rsidDel="00000000" w:rsidR="00000000" w:rsidRPr="00000000">
        <w:rPr>
          <w:rFonts w:ascii="Times New Roman" w:cs="Times New Roman" w:eastAsia="Times New Roman" w:hAnsi="Times New Roman"/>
          <w:i w:val="1"/>
          <w:sz w:val="20"/>
          <w:szCs w:val="20"/>
          <w:rtl w:val="0"/>
        </w:rPr>
        <w:t xml:space="preserve">A Survey of Portraits and Figure Paintings by Frank Duveneck, 1848-1919</w:t>
      </w:r>
      <w:r w:rsidDel="00000000" w:rsidR="00000000" w:rsidRPr="00000000">
        <w:rPr>
          <w:rFonts w:ascii="Times New Roman" w:cs="Times New Roman" w:eastAsia="Times New Roman" w:hAnsi="Times New Roman"/>
          <w:sz w:val="20"/>
          <w:szCs w:val="20"/>
          <w:rtl w:val="0"/>
        </w:rPr>
        <w:t xml:space="preserve">.</w:t>
      </w:r>
      <w:r w:rsidDel="00000000" w:rsidR="00000000" w:rsidRPr="00000000">
        <w:rPr>
          <w:rtl w:val="0"/>
        </w:rPr>
      </w:r>
    </w:p>
  </w:footnote>
  <w:footnote w:id="10">
    <w:p w:rsidR="00000000" w:rsidDel="00000000" w:rsidP="00000000" w:rsidRDefault="00000000" w:rsidRPr="00000000" w14:paraId="0000003B">
      <w:pPr>
        <w:spacing w:line="240" w:lineRule="auto"/>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Cincinnati Art Museum Archives </w:t>
      </w:r>
    </w:p>
  </w:footnote>
  <w:footnote w:id="11">
    <w:p w:rsidR="00000000" w:rsidDel="00000000" w:rsidP="00000000" w:rsidRDefault="00000000" w:rsidRPr="00000000" w14:paraId="0000003C">
      <w:pPr>
        <w:spacing w:line="240" w:lineRule="auto"/>
        <w:rPr>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Gerdts, W. H. (1984). </w:t>
      </w:r>
      <w:r w:rsidDel="00000000" w:rsidR="00000000" w:rsidRPr="00000000">
        <w:rPr>
          <w:rFonts w:ascii="Times New Roman" w:cs="Times New Roman" w:eastAsia="Times New Roman" w:hAnsi="Times New Roman"/>
          <w:i w:val="1"/>
          <w:sz w:val="20"/>
          <w:szCs w:val="20"/>
          <w:rtl w:val="0"/>
        </w:rPr>
        <w:t xml:space="preserve">American impressionism</w:t>
      </w:r>
      <w:r w:rsidDel="00000000" w:rsidR="00000000" w:rsidRPr="00000000">
        <w:rPr>
          <w:rFonts w:ascii="Times New Roman" w:cs="Times New Roman" w:eastAsia="Times New Roman" w:hAnsi="Times New Roman"/>
          <w:sz w:val="20"/>
          <w:szCs w:val="20"/>
          <w:rtl w:val="0"/>
        </w:rPr>
        <w:t xml:space="preserve">. Abbeville Press. </w:t>
      </w:r>
      <w:r w:rsidDel="00000000" w:rsidR="00000000" w:rsidRPr="00000000">
        <w:rPr>
          <w:rtl w:val="0"/>
        </w:rPr>
      </w:r>
    </w:p>
  </w:footnote>
  <w:footnote w:id="12">
    <w:p w:rsidR="00000000" w:rsidDel="00000000" w:rsidP="00000000" w:rsidRDefault="00000000" w:rsidRPr="00000000" w14:paraId="0000003D">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rFonts w:ascii="Times New Roman" w:cs="Times New Roman" w:eastAsia="Times New Roman" w:hAnsi="Times New Roman"/>
          <w:sz w:val="20"/>
          <w:szCs w:val="20"/>
          <w:rtl w:val="0"/>
        </w:rPr>
        <w:t xml:space="preserve"> Gerdts, W. H. (1984). </w:t>
      </w:r>
      <w:r w:rsidDel="00000000" w:rsidR="00000000" w:rsidRPr="00000000">
        <w:rPr>
          <w:rFonts w:ascii="Times New Roman" w:cs="Times New Roman" w:eastAsia="Times New Roman" w:hAnsi="Times New Roman"/>
          <w:i w:val="1"/>
          <w:sz w:val="20"/>
          <w:szCs w:val="20"/>
          <w:rtl w:val="0"/>
        </w:rPr>
        <w:t xml:space="preserve">American impressionism</w:t>
      </w:r>
      <w:r w:rsidDel="00000000" w:rsidR="00000000" w:rsidRPr="00000000">
        <w:rPr>
          <w:rFonts w:ascii="Times New Roman" w:cs="Times New Roman" w:eastAsia="Times New Roman" w:hAnsi="Times New Roman"/>
          <w:sz w:val="20"/>
          <w:szCs w:val="20"/>
          <w:rtl w:val="0"/>
        </w:rPr>
        <w:t xml:space="preserve">. Abbeville Press. </w:t>
      </w:r>
      <w:r w:rsidDel="00000000" w:rsidR="00000000" w:rsidRPr="00000000">
        <w:rPr>
          <w:rtl w:val="0"/>
        </w:rPr>
      </w:r>
    </w:p>
  </w:footnote>
  <w:footnote w:id="13">
    <w:p w:rsidR="00000000" w:rsidDel="00000000" w:rsidP="00000000" w:rsidRDefault="00000000" w:rsidRPr="00000000" w14:paraId="0000003E">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rFonts w:ascii="Times New Roman" w:cs="Times New Roman" w:eastAsia="Times New Roman" w:hAnsi="Times New Roman"/>
          <w:sz w:val="20"/>
          <w:szCs w:val="20"/>
          <w:rtl w:val="0"/>
        </w:rPr>
        <w:t xml:space="preserve">Boyle, R. J. (n.d.). </w:t>
      </w:r>
      <w:r w:rsidDel="00000000" w:rsidR="00000000" w:rsidRPr="00000000">
        <w:rPr>
          <w:rFonts w:ascii="Times New Roman" w:cs="Times New Roman" w:eastAsia="Times New Roman" w:hAnsi="Times New Roman"/>
          <w:i w:val="1"/>
          <w:sz w:val="20"/>
          <w:szCs w:val="20"/>
          <w:rtl w:val="0"/>
        </w:rPr>
        <w:t xml:space="preserve">American Impressionism</w:t>
      </w:r>
      <w:r w:rsidDel="00000000" w:rsidR="00000000" w:rsidRPr="00000000">
        <w:rPr>
          <w:rFonts w:ascii="Times New Roman" w:cs="Times New Roman" w:eastAsia="Times New Roman" w:hAnsi="Times New Roman"/>
          <w:sz w:val="20"/>
          <w:szCs w:val="20"/>
          <w:rtl w:val="0"/>
        </w:rPr>
        <w:t xml:space="preserve">. American Impressionism; essay by Richard J. Boyle.</w:t>
      </w:r>
      <w:r w:rsidDel="00000000" w:rsidR="00000000" w:rsidRPr="00000000">
        <w:rPr>
          <w:rtl w:val="0"/>
        </w:rPr>
      </w:r>
    </w:p>
  </w:footnote>
  <w:footnote w:id="14">
    <w:p w:rsidR="00000000" w:rsidDel="00000000" w:rsidP="00000000" w:rsidRDefault="00000000" w:rsidRPr="00000000" w14:paraId="0000003F">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rFonts w:ascii="Times New Roman" w:cs="Times New Roman" w:eastAsia="Times New Roman" w:hAnsi="Times New Roman"/>
          <w:sz w:val="20"/>
          <w:szCs w:val="20"/>
          <w:rtl w:val="0"/>
        </w:rPr>
        <w:t xml:space="preserve">Gerdts, W. H. (1984). </w:t>
      </w:r>
      <w:r w:rsidDel="00000000" w:rsidR="00000000" w:rsidRPr="00000000">
        <w:rPr>
          <w:rFonts w:ascii="Times New Roman" w:cs="Times New Roman" w:eastAsia="Times New Roman" w:hAnsi="Times New Roman"/>
          <w:i w:val="1"/>
          <w:sz w:val="20"/>
          <w:szCs w:val="20"/>
          <w:rtl w:val="0"/>
        </w:rPr>
        <w:t xml:space="preserve">American impressionism</w:t>
      </w:r>
      <w:r w:rsidDel="00000000" w:rsidR="00000000" w:rsidRPr="00000000">
        <w:rPr>
          <w:rFonts w:ascii="Times New Roman" w:cs="Times New Roman" w:eastAsia="Times New Roman" w:hAnsi="Times New Roman"/>
          <w:sz w:val="20"/>
          <w:szCs w:val="20"/>
          <w:rtl w:val="0"/>
        </w:rPr>
        <w:t xml:space="preserve">. Abbeville Press. </w:t>
      </w:r>
      <w:r w:rsidDel="00000000" w:rsidR="00000000" w:rsidRPr="00000000">
        <w:rPr>
          <w:rtl w:val="0"/>
        </w:rPr>
      </w:r>
    </w:p>
  </w:footnote>
  <w:footnote w:id="15">
    <w:p w:rsidR="00000000" w:rsidDel="00000000" w:rsidP="00000000" w:rsidRDefault="00000000" w:rsidRPr="00000000" w14:paraId="00000040">
      <w:pPr>
        <w:spacing w:line="240" w:lineRule="auto"/>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Cincinnati Art Museum Archives</w:t>
      </w:r>
    </w:p>
  </w:footnote>
  <w:footnote w:id="16">
    <w:p w:rsidR="00000000" w:rsidDel="00000000" w:rsidP="00000000" w:rsidRDefault="00000000" w:rsidRPr="00000000" w14:paraId="00000041">
      <w:pPr>
        <w:spacing w:line="240" w:lineRule="auto"/>
        <w:rPr>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Gerdts, W. H. (1984). </w:t>
      </w:r>
      <w:r w:rsidDel="00000000" w:rsidR="00000000" w:rsidRPr="00000000">
        <w:rPr>
          <w:rFonts w:ascii="Times New Roman" w:cs="Times New Roman" w:eastAsia="Times New Roman" w:hAnsi="Times New Roman"/>
          <w:i w:val="1"/>
          <w:sz w:val="20"/>
          <w:szCs w:val="20"/>
          <w:rtl w:val="0"/>
        </w:rPr>
        <w:t xml:space="preserve">American impressionism</w:t>
      </w:r>
      <w:r w:rsidDel="00000000" w:rsidR="00000000" w:rsidRPr="00000000">
        <w:rPr>
          <w:rFonts w:ascii="Times New Roman" w:cs="Times New Roman" w:eastAsia="Times New Roman" w:hAnsi="Times New Roman"/>
          <w:sz w:val="20"/>
          <w:szCs w:val="20"/>
          <w:rtl w:val="0"/>
        </w:rPr>
        <w:t xml:space="preserve">. Abbeville Press. </w:t>
      </w:r>
      <w:r w:rsidDel="00000000" w:rsidR="00000000" w:rsidRPr="00000000">
        <w:rPr>
          <w:rtl w:val="0"/>
        </w:rPr>
      </w:r>
    </w:p>
  </w:footnote>
  <w:footnote w:id="17">
    <w:p w:rsidR="00000000" w:rsidDel="00000000" w:rsidP="00000000" w:rsidRDefault="00000000" w:rsidRPr="00000000" w14:paraId="00000042">
      <w:pPr>
        <w:spacing w:line="240" w:lineRule="auto"/>
        <w:rPr>
          <w:sz w:val="18"/>
          <w:szCs w:val="18"/>
        </w:rPr>
      </w:pPr>
      <w:r w:rsidDel="00000000" w:rsidR="00000000" w:rsidRPr="00000000">
        <w:rPr>
          <w:rStyle w:val="FootnoteReference"/>
          <w:vertAlign w:val="superscript"/>
        </w:rPr>
        <w:footnoteRef/>
      </w:r>
      <w:r w:rsidDel="00000000" w:rsidR="00000000" w:rsidRPr="00000000">
        <w:rPr>
          <w:sz w:val="18"/>
          <w:szCs w:val="18"/>
          <w:rtl w:val="0"/>
        </w:rPr>
        <w:t xml:space="preserve"> </w:t>
      </w:r>
      <w:r w:rsidDel="00000000" w:rsidR="00000000" w:rsidRPr="00000000">
        <w:rPr>
          <w:rFonts w:ascii="Times New Roman" w:cs="Times New Roman" w:eastAsia="Times New Roman" w:hAnsi="Times New Roman"/>
          <w:sz w:val="20"/>
          <w:szCs w:val="20"/>
          <w:rtl w:val="0"/>
        </w:rPr>
        <w:t xml:space="preserve">Boyle, R. J. (n.d.). </w:t>
      </w:r>
      <w:r w:rsidDel="00000000" w:rsidR="00000000" w:rsidRPr="00000000">
        <w:rPr>
          <w:rFonts w:ascii="Times New Roman" w:cs="Times New Roman" w:eastAsia="Times New Roman" w:hAnsi="Times New Roman"/>
          <w:i w:val="1"/>
          <w:sz w:val="20"/>
          <w:szCs w:val="20"/>
          <w:rtl w:val="0"/>
        </w:rPr>
        <w:t xml:space="preserve">American Impressionism</w:t>
      </w:r>
      <w:r w:rsidDel="00000000" w:rsidR="00000000" w:rsidRPr="00000000">
        <w:rPr>
          <w:rFonts w:ascii="Times New Roman" w:cs="Times New Roman" w:eastAsia="Times New Roman" w:hAnsi="Times New Roman"/>
          <w:sz w:val="20"/>
          <w:szCs w:val="20"/>
          <w:rtl w:val="0"/>
        </w:rPr>
        <w:t xml:space="preserve">. American Impressionism; essay by Richard J. </w:t>
      </w:r>
      <w:r w:rsidDel="00000000" w:rsidR="00000000" w:rsidRPr="00000000">
        <w:rPr>
          <w:rtl w:val="0"/>
        </w:rPr>
      </w:r>
    </w:p>
  </w:footnote>
  <w:footnote w:id="18">
    <w:p w:rsidR="00000000" w:rsidDel="00000000" w:rsidP="00000000" w:rsidRDefault="00000000" w:rsidRPr="00000000" w14:paraId="00000043">
      <w:pPr>
        <w:spacing w:line="240" w:lineRule="auto"/>
        <w:rPr>
          <w:sz w:val="18"/>
          <w:szCs w:val="18"/>
        </w:rPr>
      </w:pPr>
      <w:r w:rsidDel="00000000" w:rsidR="00000000" w:rsidRPr="00000000">
        <w:rPr>
          <w:rStyle w:val="FootnoteReference"/>
          <w:vertAlign w:val="superscript"/>
        </w:rPr>
        <w:footnoteRef/>
      </w:r>
      <w:r w:rsidDel="00000000" w:rsidR="00000000" w:rsidRPr="00000000">
        <w:rPr>
          <w:sz w:val="18"/>
          <w:szCs w:val="18"/>
          <w:rtl w:val="0"/>
        </w:rPr>
        <w:t xml:space="preserve"> </w:t>
      </w:r>
      <w:r w:rsidDel="00000000" w:rsidR="00000000" w:rsidRPr="00000000">
        <w:rPr>
          <w:rFonts w:ascii="Times New Roman" w:cs="Times New Roman" w:eastAsia="Times New Roman" w:hAnsi="Times New Roman"/>
          <w:sz w:val="20"/>
          <w:szCs w:val="20"/>
          <w:rtl w:val="0"/>
        </w:rPr>
        <w:t xml:space="preserve">Boyle, R. J. (n.d.). </w:t>
      </w:r>
      <w:r w:rsidDel="00000000" w:rsidR="00000000" w:rsidRPr="00000000">
        <w:rPr>
          <w:rFonts w:ascii="Times New Roman" w:cs="Times New Roman" w:eastAsia="Times New Roman" w:hAnsi="Times New Roman"/>
          <w:i w:val="1"/>
          <w:sz w:val="20"/>
          <w:szCs w:val="20"/>
          <w:rtl w:val="0"/>
        </w:rPr>
        <w:t xml:space="preserve">American Impressionism</w:t>
      </w:r>
      <w:r w:rsidDel="00000000" w:rsidR="00000000" w:rsidRPr="00000000">
        <w:rPr>
          <w:rFonts w:ascii="Times New Roman" w:cs="Times New Roman" w:eastAsia="Times New Roman" w:hAnsi="Times New Roman"/>
          <w:sz w:val="20"/>
          <w:szCs w:val="20"/>
          <w:rtl w:val="0"/>
        </w:rPr>
        <w:t xml:space="preserve">. American Impressionism; essay by Richard J. </w:t>
      </w:r>
      <w:r w:rsidDel="00000000" w:rsidR="00000000" w:rsidRPr="00000000">
        <w:rPr>
          <w:rtl w:val="0"/>
        </w:rPr>
      </w:r>
    </w:p>
  </w:footnote>
  <w:footnote w:id="19">
    <w:p w:rsidR="00000000" w:rsidDel="00000000" w:rsidP="00000000" w:rsidRDefault="00000000" w:rsidRPr="00000000" w14:paraId="00000044">
      <w:pPr>
        <w:spacing w:line="240" w:lineRule="auto"/>
        <w:rPr>
          <w:sz w:val="18"/>
          <w:szCs w:val="18"/>
        </w:rPr>
      </w:pPr>
      <w:r w:rsidDel="00000000" w:rsidR="00000000" w:rsidRPr="00000000">
        <w:rPr>
          <w:rStyle w:val="FootnoteReference"/>
          <w:vertAlign w:val="superscript"/>
        </w:rPr>
        <w:footnoteRef/>
      </w:r>
      <w:r w:rsidDel="00000000" w:rsidR="00000000" w:rsidRPr="00000000">
        <w:rPr>
          <w:sz w:val="18"/>
          <w:szCs w:val="18"/>
          <w:rtl w:val="0"/>
        </w:rPr>
        <w:t xml:space="preserve"> </w:t>
      </w:r>
      <w:r w:rsidDel="00000000" w:rsidR="00000000" w:rsidRPr="00000000">
        <w:rPr>
          <w:rFonts w:ascii="Times New Roman" w:cs="Times New Roman" w:eastAsia="Times New Roman" w:hAnsi="Times New Roman"/>
          <w:sz w:val="20"/>
          <w:szCs w:val="20"/>
          <w:rtl w:val="0"/>
        </w:rPr>
        <w:t xml:space="preserve">Boyle, R. J. (n.d.). </w:t>
      </w:r>
      <w:r w:rsidDel="00000000" w:rsidR="00000000" w:rsidRPr="00000000">
        <w:rPr>
          <w:rFonts w:ascii="Times New Roman" w:cs="Times New Roman" w:eastAsia="Times New Roman" w:hAnsi="Times New Roman"/>
          <w:i w:val="1"/>
          <w:sz w:val="20"/>
          <w:szCs w:val="20"/>
          <w:rtl w:val="0"/>
        </w:rPr>
        <w:t xml:space="preserve">American Impressionism</w:t>
      </w:r>
      <w:r w:rsidDel="00000000" w:rsidR="00000000" w:rsidRPr="00000000">
        <w:rPr>
          <w:rFonts w:ascii="Times New Roman" w:cs="Times New Roman" w:eastAsia="Times New Roman" w:hAnsi="Times New Roman"/>
          <w:sz w:val="20"/>
          <w:szCs w:val="20"/>
          <w:rtl w:val="0"/>
        </w:rPr>
        <w:t xml:space="preserve">. American Impressionism; essay by Richard J. </w:t>
      </w:r>
      <w:r w:rsidDel="00000000" w:rsidR="00000000" w:rsidRPr="00000000">
        <w:rPr>
          <w:rtl w:val="0"/>
        </w:rPr>
      </w:r>
    </w:p>
  </w:footnote>
  <w:footnote w:id="0">
    <w:p w:rsidR="00000000" w:rsidDel="00000000" w:rsidP="00000000" w:rsidRDefault="00000000" w:rsidRPr="00000000" w14:paraId="00000046">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rFonts w:ascii="Times New Roman" w:cs="Times New Roman" w:eastAsia="Times New Roman" w:hAnsi="Times New Roman"/>
          <w:color w:val="0e101a"/>
          <w:sz w:val="20"/>
          <w:szCs w:val="20"/>
          <w:rtl w:val="0"/>
        </w:rPr>
        <w:t xml:space="preserve">The Evening Post, New York . (1899, April 6), p. 6. </w:t>
      </w:r>
      <w:r w:rsidDel="00000000" w:rsidR="00000000" w:rsidRPr="00000000">
        <w:rPr>
          <w:rtl w:val="0"/>
        </w:rPr>
      </w:r>
    </w:p>
  </w:footnote>
  <w:footnote w:id="3">
    <w:p w:rsidR="00000000" w:rsidDel="00000000" w:rsidP="00000000" w:rsidRDefault="00000000" w:rsidRPr="00000000" w14:paraId="00000047">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rFonts w:ascii="Times New Roman" w:cs="Times New Roman" w:eastAsia="Times New Roman" w:hAnsi="Times New Roman"/>
          <w:sz w:val="20"/>
          <w:szCs w:val="20"/>
          <w:rtl w:val="0"/>
        </w:rPr>
        <w:t xml:space="preserve"> Downs, W. H. (1913, April). Joseph DeCamp and His Works</w:t>
      </w:r>
      <w:r w:rsidDel="00000000" w:rsidR="00000000" w:rsidRPr="00000000">
        <w:rPr>
          <w:rtl w:val="0"/>
        </w:rPr>
      </w:r>
    </w:p>
  </w:footnote>
</w:footnote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1" Type="http://schemas.openxmlformats.org/officeDocument/2006/relationships/hyperlink" Target="https://www.jstor.org/stable/pdf/j.ctv13840b0.9.pdf?refreqid=fastly-default:b38d146a7d5e1af98f1259a2c628fc70&amp;amp=&amp;ab_segments=&amp;amp=&amp;origin=&amp;amp=&amp;initiator=&amp;amp=&amp;acceptTC=1" TargetMode="External"/><Relationship Id="rId10" Type="http://schemas.openxmlformats.org/officeDocument/2006/relationships/hyperlink" Target="https://uc.idm.oclc.org/login?qurl=https%3A%2F%2Fwww.proquest.com%2Fdissertations-theses%2Fjoseph-rodefer-decamp-1858-1923-boston-technician%2Fdocview%2F304295203%2Fse-2%3Faccountid%3D2909" TargetMode="External"/><Relationship Id="rId13" Type="http://schemas.openxmlformats.org/officeDocument/2006/relationships/footer" Target="footer1.xml"/><Relationship Id="rId12" Type="http://schemas.openxmlformats.org/officeDocument/2006/relationships/hyperlink" Target="https://www.nyshistoricnewspapers.org/?a=d&amp;d=evpo18990406-01.1.2&amp;e=-------en-20--1--txt-txIN----------"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https://tfaoi.org/aa/8aa/8aa145.htm" TargetMode="Externa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hyperlink" Target="https://www.jstor.org/stable/pdf/j.ctv13840b0.9.pdf?refreqid=fastly-default:b38d146a7d5e1af98f1259a2c628fc70&amp;amp=&amp;ab_segments=&amp;amp=&amp;origin=&amp;amp=&amp;initiator=&amp;amp=&amp;acceptTC=1" TargetMode="External"/><Relationship Id="rId8" Type="http://schemas.openxmlformats.org/officeDocument/2006/relationships/hyperlink" Target="https://uc.idm.oclc.org/login?qurl=https%3A%2F%2Fwww.proquest.com%2Fdissertations-theses%2Fsurvey-portraits-figure-paintings-frank-duveneck%2Fdocview%2F302525427%2Fse-2%3Faccountid%3D290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