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20D7" w14:textId="37AFE811" w:rsidR="04C44F05" w:rsidRDefault="04C44F05" w:rsidP="04C44F05">
      <w:pPr>
        <w:rPr>
          <w:sz w:val="24"/>
          <w:szCs w:val="24"/>
        </w:rPr>
      </w:pPr>
    </w:p>
    <w:p w14:paraId="01A40DEF" w14:textId="1D3BEC0C" w:rsidR="04C44F05" w:rsidRDefault="04C44F05" w:rsidP="04C44F05">
      <w:pPr>
        <w:rPr>
          <w:sz w:val="24"/>
          <w:szCs w:val="24"/>
        </w:rPr>
      </w:pPr>
    </w:p>
    <w:p w14:paraId="1A3341D5" w14:textId="279F72D6" w:rsidR="04C44F05" w:rsidRDefault="04C44F05" w:rsidP="04C44F05">
      <w:pPr>
        <w:rPr>
          <w:sz w:val="24"/>
          <w:szCs w:val="24"/>
        </w:rPr>
      </w:pPr>
    </w:p>
    <w:p w14:paraId="1668D305" w14:textId="1CBF4B1F" w:rsidR="04C44F05" w:rsidRDefault="04C44F05" w:rsidP="04C44F05">
      <w:pPr>
        <w:rPr>
          <w:sz w:val="24"/>
          <w:szCs w:val="24"/>
        </w:rPr>
      </w:pPr>
    </w:p>
    <w:p w14:paraId="46CF0A8C" w14:textId="10848609" w:rsidR="04C44F05" w:rsidRDefault="04C44F05" w:rsidP="04C44F05">
      <w:pPr>
        <w:rPr>
          <w:sz w:val="24"/>
          <w:szCs w:val="24"/>
        </w:rPr>
      </w:pPr>
    </w:p>
    <w:p w14:paraId="4A347D47" w14:textId="5C2E936C" w:rsidR="04C44F05" w:rsidRDefault="04C44F05" w:rsidP="04C44F05">
      <w:pPr>
        <w:rPr>
          <w:sz w:val="24"/>
          <w:szCs w:val="24"/>
        </w:rPr>
      </w:pPr>
    </w:p>
    <w:p w14:paraId="5C1760E6" w14:textId="4BE4CFDE" w:rsidR="04C44F05" w:rsidRDefault="04C44F05" w:rsidP="04C44F05">
      <w:pPr>
        <w:rPr>
          <w:sz w:val="24"/>
          <w:szCs w:val="24"/>
        </w:rPr>
      </w:pPr>
    </w:p>
    <w:p w14:paraId="44464754" w14:textId="5BD89791" w:rsidR="04C44F05" w:rsidRDefault="04C44F05" w:rsidP="04C44F05">
      <w:pPr>
        <w:rPr>
          <w:sz w:val="24"/>
          <w:szCs w:val="24"/>
        </w:rPr>
      </w:pPr>
    </w:p>
    <w:p w14:paraId="179B3161" w14:textId="1470BEC9" w:rsidR="04C44F05" w:rsidRDefault="04C44F05" w:rsidP="04C44F05">
      <w:pPr>
        <w:rPr>
          <w:sz w:val="24"/>
          <w:szCs w:val="24"/>
        </w:rPr>
      </w:pPr>
    </w:p>
    <w:p w14:paraId="59121DA7" w14:textId="4178B95C" w:rsidR="04C44F05" w:rsidRDefault="04C44F05" w:rsidP="04C44F05">
      <w:pPr>
        <w:rPr>
          <w:sz w:val="24"/>
          <w:szCs w:val="24"/>
        </w:rPr>
      </w:pPr>
    </w:p>
    <w:p w14:paraId="6493D74F" w14:textId="2C63C606" w:rsidR="04C44F05" w:rsidRPr="00A45A56" w:rsidRDefault="00A45A56" w:rsidP="00A45A56">
      <w:pPr>
        <w:jc w:val="center"/>
        <w:rPr>
          <w:b/>
          <w:bCs/>
          <w:sz w:val="24"/>
          <w:szCs w:val="24"/>
        </w:rPr>
      </w:pPr>
      <w:r w:rsidRPr="00A45A56">
        <w:rPr>
          <w:b/>
          <w:bCs/>
          <w:sz w:val="24"/>
          <w:szCs w:val="24"/>
        </w:rPr>
        <w:t>University of Cincinnati</w:t>
      </w:r>
    </w:p>
    <w:p w14:paraId="35281D7A" w14:textId="7F24F723" w:rsidR="00A45A56" w:rsidRPr="00A45A56" w:rsidRDefault="00A45A56" w:rsidP="00A45A56">
      <w:pPr>
        <w:jc w:val="center"/>
        <w:rPr>
          <w:b/>
          <w:bCs/>
          <w:sz w:val="24"/>
          <w:szCs w:val="24"/>
        </w:rPr>
      </w:pPr>
      <w:r w:rsidRPr="00A45A56">
        <w:rPr>
          <w:b/>
          <w:bCs/>
          <w:sz w:val="24"/>
          <w:szCs w:val="24"/>
        </w:rPr>
        <w:t>Cosmetic Science Capstone Project</w:t>
      </w:r>
    </w:p>
    <w:p w14:paraId="21F3E883" w14:textId="77777777" w:rsidR="00A45A56" w:rsidRDefault="00A45A56" w:rsidP="04C44F05">
      <w:pPr>
        <w:jc w:val="center"/>
        <w:rPr>
          <w:sz w:val="24"/>
          <w:szCs w:val="24"/>
        </w:rPr>
      </w:pPr>
    </w:p>
    <w:p w14:paraId="46FCBFFA" w14:textId="35471536" w:rsidR="3E1D1CAD" w:rsidRDefault="3E1D1CAD" w:rsidP="04C44F05">
      <w:pPr>
        <w:jc w:val="center"/>
        <w:rPr>
          <w:sz w:val="24"/>
          <w:szCs w:val="24"/>
        </w:rPr>
      </w:pPr>
      <w:r w:rsidRPr="04C44F05">
        <w:rPr>
          <w:sz w:val="24"/>
          <w:szCs w:val="24"/>
        </w:rPr>
        <w:t xml:space="preserve">Complexities of Rosacea: </w:t>
      </w:r>
      <w:r w:rsidR="103F91EE" w:rsidRPr="04C44F05">
        <w:rPr>
          <w:sz w:val="24"/>
          <w:szCs w:val="24"/>
        </w:rPr>
        <w:t>Diagnosis Disparities and Treatment Approaches</w:t>
      </w:r>
      <w:r w:rsidRPr="04C44F05">
        <w:rPr>
          <w:sz w:val="24"/>
          <w:szCs w:val="24"/>
        </w:rPr>
        <w:t xml:space="preserve"> </w:t>
      </w:r>
    </w:p>
    <w:p w14:paraId="178E2BD2" w14:textId="11D2E228" w:rsidR="00A45A56" w:rsidRDefault="00A45A56" w:rsidP="00A41127">
      <w:pPr>
        <w:rPr>
          <w:sz w:val="24"/>
          <w:szCs w:val="24"/>
        </w:rPr>
      </w:pPr>
    </w:p>
    <w:p w14:paraId="1922F43E" w14:textId="77777777" w:rsidR="00A45A56" w:rsidRDefault="00A45A56" w:rsidP="00A45A56">
      <w:pPr>
        <w:jc w:val="center"/>
        <w:rPr>
          <w:sz w:val="24"/>
          <w:szCs w:val="24"/>
        </w:rPr>
      </w:pPr>
    </w:p>
    <w:p w14:paraId="4FEB8249" w14:textId="77777777" w:rsidR="00A45A56" w:rsidRDefault="00A45A56" w:rsidP="00A45A56">
      <w:pPr>
        <w:jc w:val="center"/>
        <w:rPr>
          <w:sz w:val="24"/>
          <w:szCs w:val="24"/>
        </w:rPr>
      </w:pPr>
    </w:p>
    <w:p w14:paraId="1B24A67D" w14:textId="77777777" w:rsidR="00A45A56" w:rsidRDefault="00A45A56" w:rsidP="00A45A56">
      <w:pPr>
        <w:jc w:val="center"/>
        <w:rPr>
          <w:sz w:val="24"/>
          <w:szCs w:val="24"/>
        </w:rPr>
      </w:pPr>
    </w:p>
    <w:p w14:paraId="05F8F729" w14:textId="18F21BE4" w:rsidR="00A45A56" w:rsidRDefault="00A45A56" w:rsidP="00A45A56">
      <w:pPr>
        <w:jc w:val="center"/>
        <w:rPr>
          <w:sz w:val="24"/>
          <w:szCs w:val="24"/>
        </w:rPr>
      </w:pPr>
      <w:r>
        <w:rPr>
          <w:sz w:val="24"/>
          <w:szCs w:val="24"/>
        </w:rPr>
        <w:t>July 2024</w:t>
      </w:r>
    </w:p>
    <w:p w14:paraId="40467DB8" w14:textId="58730BAC" w:rsidR="04C44F05" w:rsidRPr="00A45A56" w:rsidRDefault="00A45A56" w:rsidP="04C44F05">
      <w:pPr>
        <w:rPr>
          <w:sz w:val="24"/>
          <w:szCs w:val="24"/>
        </w:rPr>
      </w:pPr>
      <w:r>
        <w:rPr>
          <w:sz w:val="24"/>
          <w:szCs w:val="24"/>
        </w:rPr>
        <w:br w:type="page"/>
      </w:r>
    </w:p>
    <w:p w14:paraId="4A3FE5BB" w14:textId="695360FC" w:rsidR="00A45A56" w:rsidRDefault="00A45A56">
      <w:pPr>
        <w:rPr>
          <w:b/>
          <w:bCs/>
          <w:sz w:val="24"/>
          <w:szCs w:val="24"/>
        </w:rPr>
      </w:pPr>
    </w:p>
    <w:sdt>
      <w:sdtPr>
        <w:id w:val="1585641598"/>
        <w:docPartObj>
          <w:docPartGallery w:val="Table of Contents"/>
          <w:docPartUnique/>
        </w:docPartObj>
      </w:sdtPr>
      <w:sdtEndPr>
        <w:rPr>
          <w:rFonts w:ascii="Arial" w:eastAsia="Arial" w:hAnsi="Arial" w:cs="Arial"/>
          <w:noProof/>
          <w:color w:val="auto"/>
          <w:sz w:val="22"/>
          <w:szCs w:val="22"/>
          <w:lang w:val="en" w:eastAsia="ja-JP"/>
        </w:rPr>
      </w:sdtEndPr>
      <w:sdtContent>
        <w:p w14:paraId="7C875393" w14:textId="774BBA92" w:rsidR="00A45A56" w:rsidRPr="00374968" w:rsidRDefault="00A45A56" w:rsidP="00374968">
          <w:pPr>
            <w:pStyle w:val="TOCHeading"/>
            <w:spacing w:line="480" w:lineRule="auto"/>
            <w:rPr>
              <w:rFonts w:ascii="Arial" w:hAnsi="Arial" w:cs="Arial"/>
              <w:color w:val="auto"/>
            </w:rPr>
          </w:pPr>
          <w:r w:rsidRPr="00374968">
            <w:rPr>
              <w:rFonts w:ascii="Arial" w:hAnsi="Arial" w:cs="Arial"/>
              <w:color w:val="auto"/>
            </w:rPr>
            <w:t>Table of Contents</w:t>
          </w:r>
        </w:p>
        <w:p w14:paraId="01E04E61" w14:textId="30867379" w:rsidR="00374968" w:rsidRPr="00374968" w:rsidRDefault="00A45A56"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r w:rsidRPr="00374968">
            <w:rPr>
              <w:rFonts w:ascii="Arial" w:hAnsi="Arial"/>
              <w:b w:val="0"/>
              <w:bCs w:val="0"/>
            </w:rPr>
            <w:fldChar w:fldCharType="begin"/>
          </w:r>
          <w:r w:rsidRPr="00374968">
            <w:rPr>
              <w:rFonts w:ascii="Arial" w:hAnsi="Arial"/>
            </w:rPr>
            <w:instrText xml:space="preserve"> TOC \o "1-3" \h \z \u </w:instrText>
          </w:r>
          <w:r w:rsidRPr="00374968">
            <w:rPr>
              <w:rFonts w:ascii="Arial" w:hAnsi="Arial"/>
              <w:b w:val="0"/>
              <w:bCs w:val="0"/>
            </w:rPr>
            <w:fldChar w:fldCharType="separate"/>
          </w:r>
          <w:hyperlink w:anchor="_Toc171010337" w:history="1">
            <w:r w:rsidR="00374968" w:rsidRPr="00374968">
              <w:rPr>
                <w:rStyle w:val="Hyperlink"/>
                <w:rFonts w:ascii="Arial" w:hAnsi="Arial"/>
                <w:noProof/>
              </w:rPr>
              <w:t>Introduction</w:t>
            </w:r>
            <w:r w:rsidR="00374968" w:rsidRPr="00374968">
              <w:rPr>
                <w:rFonts w:ascii="Arial" w:hAnsi="Arial"/>
                <w:noProof/>
                <w:webHidden/>
              </w:rPr>
              <w:tab/>
            </w:r>
            <w:r w:rsidR="00374968" w:rsidRPr="00374968">
              <w:rPr>
                <w:rFonts w:ascii="Arial" w:hAnsi="Arial"/>
                <w:noProof/>
                <w:webHidden/>
              </w:rPr>
              <w:fldChar w:fldCharType="begin"/>
            </w:r>
            <w:r w:rsidR="00374968" w:rsidRPr="00374968">
              <w:rPr>
                <w:rFonts w:ascii="Arial" w:hAnsi="Arial"/>
                <w:noProof/>
                <w:webHidden/>
              </w:rPr>
              <w:instrText xml:space="preserve"> PAGEREF _Toc171010337 \h </w:instrText>
            </w:r>
            <w:r w:rsidR="00374968" w:rsidRPr="00374968">
              <w:rPr>
                <w:rFonts w:ascii="Arial" w:hAnsi="Arial"/>
                <w:noProof/>
                <w:webHidden/>
              </w:rPr>
            </w:r>
            <w:r w:rsidR="00374968" w:rsidRPr="00374968">
              <w:rPr>
                <w:rFonts w:ascii="Arial" w:hAnsi="Arial"/>
                <w:noProof/>
                <w:webHidden/>
              </w:rPr>
              <w:fldChar w:fldCharType="separate"/>
            </w:r>
            <w:r w:rsidR="00374968" w:rsidRPr="00374968">
              <w:rPr>
                <w:rFonts w:ascii="Arial" w:hAnsi="Arial"/>
                <w:noProof/>
                <w:webHidden/>
              </w:rPr>
              <w:t>3</w:t>
            </w:r>
            <w:r w:rsidR="00374968" w:rsidRPr="00374968">
              <w:rPr>
                <w:rFonts w:ascii="Arial" w:hAnsi="Arial"/>
                <w:noProof/>
                <w:webHidden/>
              </w:rPr>
              <w:fldChar w:fldCharType="end"/>
            </w:r>
          </w:hyperlink>
        </w:p>
        <w:p w14:paraId="152B945E" w14:textId="570BFBA6"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38" w:history="1">
            <w:r w:rsidRPr="00374968">
              <w:rPr>
                <w:rStyle w:val="Hyperlink"/>
                <w:rFonts w:ascii="Arial" w:hAnsi="Arial"/>
                <w:noProof/>
              </w:rPr>
              <w:t>Background</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_Toc171010338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3</w:t>
            </w:r>
            <w:r w:rsidRPr="00374968">
              <w:rPr>
                <w:rFonts w:ascii="Arial" w:hAnsi="Arial"/>
                <w:noProof/>
                <w:webHidden/>
              </w:rPr>
              <w:fldChar w:fldCharType="end"/>
            </w:r>
          </w:hyperlink>
        </w:p>
        <w:p w14:paraId="43E7854F" w14:textId="756EC1F0"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39" w:history="1">
            <w:r w:rsidRPr="00374968">
              <w:rPr>
                <w:rStyle w:val="Hyperlink"/>
                <w:rFonts w:ascii="Arial" w:hAnsi="Arial"/>
                <w:noProof/>
              </w:rPr>
              <w:t>Prevalence</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_Toc171010339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4</w:t>
            </w:r>
            <w:r w:rsidRPr="00374968">
              <w:rPr>
                <w:rFonts w:ascii="Arial" w:hAnsi="Arial"/>
                <w:noProof/>
                <w:webHidden/>
              </w:rPr>
              <w:fldChar w:fldCharType="end"/>
            </w:r>
          </w:hyperlink>
        </w:p>
        <w:p w14:paraId="23F20A28" w14:textId="0B4C4F74"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0" w:history="1">
            <w:r w:rsidRPr="00374968">
              <w:rPr>
                <w:rStyle w:val="Hyperlink"/>
                <w:rFonts w:ascii="Arial" w:hAnsi="Arial"/>
                <w:noProof/>
                <w:lang w:val="en-US"/>
              </w:rPr>
              <w:t>Biomarkers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_Toc171010340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6</w:t>
            </w:r>
            <w:r w:rsidRPr="00374968">
              <w:rPr>
                <w:rFonts w:ascii="Arial" w:hAnsi="Arial"/>
                <w:noProof/>
                <w:webHidden/>
              </w:rPr>
              <w:fldChar w:fldCharType="end"/>
            </w:r>
          </w:hyperlink>
        </w:p>
        <w:p w14:paraId="177C6DEF" w14:textId="47A54994"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41" w:history="1">
            <w:r w:rsidRPr="00374968">
              <w:rPr>
                <w:rStyle w:val="Hyperlink"/>
                <w:rFonts w:ascii="Arial" w:hAnsi="Arial"/>
                <w:noProof/>
              </w:rPr>
              <w:t>Pathophysiology</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_Toc171010341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8</w:t>
            </w:r>
            <w:r w:rsidRPr="00374968">
              <w:rPr>
                <w:rFonts w:ascii="Arial" w:hAnsi="Arial"/>
                <w:noProof/>
                <w:webHidden/>
              </w:rPr>
              <w:fldChar w:fldCharType="end"/>
            </w:r>
          </w:hyperlink>
        </w:p>
        <w:p w14:paraId="1B9235A7" w14:textId="1F96B1D1"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2" w:history="1">
            <w:r w:rsidRPr="00374968">
              <w:rPr>
                <w:rStyle w:val="Hyperlink"/>
                <w:rFonts w:ascii="Arial" w:hAnsi="Arial"/>
                <w:noProof/>
                <w:lang w:val="en-US"/>
              </w:rPr>
              <w:t>Demodex Folliculorum</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_Toc171010342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12</w:t>
            </w:r>
            <w:r w:rsidRPr="00374968">
              <w:rPr>
                <w:rFonts w:ascii="Arial" w:hAnsi="Arial"/>
                <w:noProof/>
                <w:webHidden/>
              </w:rPr>
              <w:fldChar w:fldCharType="end"/>
            </w:r>
          </w:hyperlink>
        </w:p>
        <w:p w14:paraId="53211A9D" w14:textId="3BABF6E2"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43" w:history="1">
            <w:r w:rsidRPr="00374968">
              <w:rPr>
                <w:rStyle w:val="Hyperlink"/>
                <w:rFonts w:ascii="Arial" w:hAnsi="Arial"/>
                <w:noProof/>
              </w:rPr>
              <w:t>Detection Methods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_Toc171010343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14</w:t>
            </w:r>
            <w:r w:rsidRPr="00374968">
              <w:rPr>
                <w:rFonts w:ascii="Arial" w:hAnsi="Arial"/>
                <w:noProof/>
                <w:webHidden/>
              </w:rPr>
              <w:fldChar w:fldCharType="end"/>
            </w:r>
          </w:hyperlink>
        </w:p>
        <w:p w14:paraId="3806D5CC" w14:textId="69A39BAC"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4" w:history="1">
            <w:r w:rsidRPr="00374968">
              <w:rPr>
                <w:rStyle w:val="Hyperlink"/>
                <w:rFonts w:ascii="Arial" w:hAnsi="Arial"/>
                <w:noProof/>
              </w:rPr>
              <w:t>Standards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_Toc171010344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14</w:t>
            </w:r>
            <w:r w:rsidRPr="00374968">
              <w:rPr>
                <w:rFonts w:ascii="Arial" w:hAnsi="Arial"/>
                <w:noProof/>
                <w:webHidden/>
              </w:rPr>
              <w:fldChar w:fldCharType="end"/>
            </w:r>
          </w:hyperlink>
        </w:p>
        <w:p w14:paraId="7944C800" w14:textId="7ACAECE3"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5" w:history="1">
            <w:r w:rsidRPr="00374968">
              <w:rPr>
                <w:rStyle w:val="Hyperlink"/>
                <w:rFonts w:ascii="Arial" w:hAnsi="Arial"/>
                <w:noProof/>
                <w:lang w:val="en-US"/>
              </w:rPr>
              <w:t>Recommendations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_Toc171010345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14</w:t>
            </w:r>
            <w:r w:rsidRPr="00374968">
              <w:rPr>
                <w:rFonts w:ascii="Arial" w:hAnsi="Arial"/>
                <w:noProof/>
                <w:webHidden/>
              </w:rPr>
              <w:fldChar w:fldCharType="end"/>
            </w:r>
          </w:hyperlink>
        </w:p>
        <w:p w14:paraId="5EB9A07C" w14:textId="07EE214E"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46" w:history="1">
            <w:r w:rsidRPr="00374968">
              <w:rPr>
                <w:rStyle w:val="Hyperlink"/>
                <w:rFonts w:ascii="Arial" w:hAnsi="Arial"/>
                <w:noProof/>
              </w:rPr>
              <w:t>Treatment Methods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_Toc171010346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15</w:t>
            </w:r>
            <w:r w:rsidRPr="00374968">
              <w:rPr>
                <w:rFonts w:ascii="Arial" w:hAnsi="Arial"/>
                <w:noProof/>
                <w:webHidden/>
              </w:rPr>
              <w:fldChar w:fldCharType="end"/>
            </w:r>
          </w:hyperlink>
        </w:p>
        <w:p w14:paraId="124E91E3" w14:textId="3964DF01"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7" w:history="1">
            <w:r w:rsidRPr="00374968">
              <w:rPr>
                <w:rStyle w:val="Hyperlink"/>
                <w:rFonts w:ascii="Arial" w:hAnsi="Arial"/>
                <w:noProof/>
                <w:lang w:val="en-US"/>
              </w:rPr>
              <w:t>Phenotypic Approach</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_Toc171010347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16</w:t>
            </w:r>
            <w:r w:rsidRPr="00374968">
              <w:rPr>
                <w:rFonts w:ascii="Arial" w:hAnsi="Arial"/>
                <w:noProof/>
                <w:webHidden/>
              </w:rPr>
              <w:fldChar w:fldCharType="end"/>
            </w:r>
          </w:hyperlink>
        </w:p>
        <w:p w14:paraId="6B3F66F6" w14:textId="2B3C49C9"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8" w:history="1">
            <w:r w:rsidRPr="00374968">
              <w:rPr>
                <w:rStyle w:val="Hyperlink"/>
                <w:rFonts w:ascii="Arial" w:hAnsi="Arial"/>
                <w:noProof/>
                <w:lang w:val="en-US"/>
              </w:rPr>
              <w:t>Thermal Therapy</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_Toc171010348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17</w:t>
            </w:r>
            <w:r w:rsidRPr="00374968">
              <w:rPr>
                <w:rFonts w:ascii="Arial" w:hAnsi="Arial"/>
                <w:noProof/>
                <w:webHidden/>
              </w:rPr>
              <w:fldChar w:fldCharType="end"/>
            </w:r>
          </w:hyperlink>
        </w:p>
        <w:p w14:paraId="7A5DDFBA" w14:textId="5F8EDE75" w:rsidR="00374968" w:rsidRPr="00374968" w:rsidRDefault="00374968" w:rsidP="00374968">
          <w:pPr>
            <w:pStyle w:val="TOC2"/>
            <w:tabs>
              <w:tab w:val="right" w:leader="dot" w:pos="9350"/>
            </w:tabs>
            <w:spacing w:line="480" w:lineRule="auto"/>
            <w:rPr>
              <w:rFonts w:ascii="Arial" w:eastAsiaTheme="minorEastAsia" w:hAnsi="Arial"/>
              <w:b w:val="0"/>
              <w:bCs w:val="0"/>
              <w:noProof/>
              <w:kern w:val="2"/>
              <w:sz w:val="24"/>
              <w:szCs w:val="24"/>
              <w:lang w:val="en-US" w:eastAsia="en-US"/>
              <w14:ligatures w14:val="standardContextual"/>
            </w:rPr>
          </w:pPr>
          <w:hyperlink w:anchor="_Toc171010349" w:history="1">
            <w:r w:rsidRPr="00374968">
              <w:rPr>
                <w:rStyle w:val="Hyperlink"/>
                <w:rFonts w:ascii="Arial" w:hAnsi="Arial"/>
                <w:noProof/>
                <w:lang w:val="en-US"/>
              </w:rPr>
              <w:t>Recommendations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_Toc171010349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18</w:t>
            </w:r>
            <w:r w:rsidRPr="00374968">
              <w:rPr>
                <w:rFonts w:ascii="Arial" w:hAnsi="Arial"/>
                <w:noProof/>
                <w:webHidden/>
              </w:rPr>
              <w:fldChar w:fldCharType="end"/>
            </w:r>
          </w:hyperlink>
        </w:p>
        <w:p w14:paraId="7E5CE637" w14:textId="0093B039"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50" w:history="1">
            <w:r w:rsidRPr="00374968">
              <w:rPr>
                <w:rStyle w:val="Hyperlink"/>
                <w:rFonts w:ascii="Arial" w:hAnsi="Arial"/>
                <w:noProof/>
              </w:rPr>
              <w:t>Current Research</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_Toc171010350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19</w:t>
            </w:r>
            <w:r w:rsidRPr="00374968">
              <w:rPr>
                <w:rFonts w:ascii="Arial" w:hAnsi="Arial"/>
                <w:noProof/>
                <w:webHidden/>
              </w:rPr>
              <w:fldChar w:fldCharType="end"/>
            </w:r>
          </w:hyperlink>
        </w:p>
        <w:p w14:paraId="4CF8D1BA" w14:textId="3E3D8871"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51" w:history="1">
            <w:r w:rsidRPr="00374968">
              <w:rPr>
                <w:rStyle w:val="Hyperlink"/>
                <w:rFonts w:ascii="Arial" w:hAnsi="Arial"/>
                <w:noProof/>
              </w:rPr>
              <w:t>Conclusion</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_Toc171010351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20</w:t>
            </w:r>
            <w:r w:rsidRPr="00374968">
              <w:rPr>
                <w:rFonts w:ascii="Arial" w:hAnsi="Arial"/>
                <w:noProof/>
                <w:webHidden/>
              </w:rPr>
              <w:fldChar w:fldCharType="end"/>
            </w:r>
          </w:hyperlink>
        </w:p>
        <w:p w14:paraId="0092AF41" w14:textId="7CB58F8E" w:rsidR="00374968" w:rsidRPr="00374968" w:rsidRDefault="00374968" w:rsidP="00374968">
          <w:pPr>
            <w:pStyle w:val="TOC1"/>
            <w:tabs>
              <w:tab w:val="right" w:leader="dot" w:pos="9350"/>
            </w:tabs>
            <w:spacing w:line="480" w:lineRule="auto"/>
            <w:rPr>
              <w:rFonts w:ascii="Arial" w:eastAsiaTheme="minorEastAsia" w:hAnsi="Arial"/>
              <w:b w:val="0"/>
              <w:bCs w:val="0"/>
              <w:i w:val="0"/>
              <w:iCs w:val="0"/>
              <w:noProof/>
              <w:kern w:val="2"/>
              <w:lang w:val="en-US" w:eastAsia="en-US"/>
              <w14:ligatures w14:val="standardContextual"/>
            </w:rPr>
          </w:pPr>
          <w:hyperlink w:anchor="_Toc171010352" w:history="1">
            <w:r w:rsidRPr="00374968">
              <w:rPr>
                <w:rStyle w:val="Hyperlink"/>
                <w:rFonts w:ascii="Arial" w:hAnsi="Arial"/>
                <w:noProof/>
              </w:rPr>
              <w:t>References</w:t>
            </w:r>
            <w:r w:rsidRPr="00374968">
              <w:rPr>
                <w:rFonts w:ascii="Arial" w:hAnsi="Arial"/>
                <w:noProof/>
                <w:webHidden/>
              </w:rPr>
              <w:tab/>
            </w:r>
            <w:r w:rsidRPr="00374968">
              <w:rPr>
                <w:rFonts w:ascii="Arial" w:hAnsi="Arial"/>
                <w:noProof/>
                <w:webHidden/>
              </w:rPr>
              <w:fldChar w:fldCharType="begin"/>
            </w:r>
            <w:r w:rsidRPr="00374968">
              <w:rPr>
                <w:rFonts w:ascii="Arial" w:hAnsi="Arial"/>
                <w:noProof/>
                <w:webHidden/>
              </w:rPr>
              <w:instrText xml:space="preserve"> PAGEREF _Toc171010352 \h </w:instrText>
            </w:r>
            <w:r w:rsidRPr="00374968">
              <w:rPr>
                <w:rFonts w:ascii="Arial" w:hAnsi="Arial"/>
                <w:noProof/>
                <w:webHidden/>
              </w:rPr>
            </w:r>
            <w:r w:rsidRPr="00374968">
              <w:rPr>
                <w:rFonts w:ascii="Arial" w:hAnsi="Arial"/>
                <w:noProof/>
                <w:webHidden/>
              </w:rPr>
              <w:fldChar w:fldCharType="separate"/>
            </w:r>
            <w:r w:rsidRPr="00374968">
              <w:rPr>
                <w:rFonts w:ascii="Arial" w:hAnsi="Arial"/>
                <w:noProof/>
                <w:webHidden/>
              </w:rPr>
              <w:t>22</w:t>
            </w:r>
            <w:r w:rsidRPr="00374968">
              <w:rPr>
                <w:rFonts w:ascii="Arial" w:hAnsi="Arial"/>
                <w:noProof/>
                <w:webHidden/>
              </w:rPr>
              <w:fldChar w:fldCharType="end"/>
            </w:r>
          </w:hyperlink>
        </w:p>
        <w:p w14:paraId="6E9E1BF2" w14:textId="165A0C8F" w:rsidR="00A45A56" w:rsidRDefault="00A45A56" w:rsidP="00374968">
          <w:pPr>
            <w:spacing w:line="480" w:lineRule="auto"/>
          </w:pPr>
          <w:r w:rsidRPr="00374968">
            <w:rPr>
              <w:b/>
              <w:bCs/>
              <w:noProof/>
            </w:rPr>
            <w:fldChar w:fldCharType="end"/>
          </w:r>
        </w:p>
      </w:sdtContent>
    </w:sdt>
    <w:p w14:paraId="5BDAFECD" w14:textId="77777777" w:rsidR="00A45A56" w:rsidRDefault="00A45A56">
      <w:pPr>
        <w:rPr>
          <w:b/>
          <w:bCs/>
          <w:sz w:val="24"/>
          <w:szCs w:val="24"/>
        </w:rPr>
      </w:pPr>
      <w:r>
        <w:rPr>
          <w:b/>
          <w:bCs/>
          <w:sz w:val="24"/>
          <w:szCs w:val="24"/>
        </w:rPr>
        <w:br w:type="page"/>
      </w:r>
    </w:p>
    <w:p w14:paraId="1137978A" w14:textId="1C91D58E" w:rsidR="3E1D1CAD" w:rsidRPr="00A45A56" w:rsidRDefault="003247A0" w:rsidP="00A45A56">
      <w:pPr>
        <w:pStyle w:val="Heading1"/>
        <w:rPr>
          <w:b/>
          <w:bCs/>
          <w:sz w:val="24"/>
          <w:szCs w:val="24"/>
        </w:rPr>
      </w:pPr>
      <w:bookmarkStart w:id="0" w:name="_Toc171010337"/>
      <w:r>
        <w:rPr>
          <w:b/>
          <w:bCs/>
          <w:sz w:val="24"/>
          <w:szCs w:val="24"/>
        </w:rPr>
        <w:lastRenderedPageBreak/>
        <w:t>Introduction</w:t>
      </w:r>
      <w:bookmarkEnd w:id="0"/>
    </w:p>
    <w:p w14:paraId="34A87AA8" w14:textId="0EF87317" w:rsidR="3E1D1CAD" w:rsidRPr="007C4EE8" w:rsidRDefault="3E1D1CAD" w:rsidP="007C4EE8">
      <w:pPr>
        <w:spacing w:line="480" w:lineRule="auto"/>
        <w:ind w:firstLine="720"/>
        <w:rPr>
          <w:sz w:val="24"/>
          <w:szCs w:val="24"/>
          <w:lang w:val="en-US"/>
        </w:rPr>
      </w:pPr>
      <w:r w:rsidRPr="007C4EE8">
        <w:rPr>
          <w:sz w:val="24"/>
          <w:szCs w:val="24"/>
          <w:lang w:val="en-US"/>
        </w:rPr>
        <w:t xml:space="preserve">Skin inflammation has been a prominent focus within the cosmetic industry, and research is continually growing. Rosacea, a prevalent skin disease characterized by </w:t>
      </w:r>
      <w:proofErr w:type="spellStart"/>
      <w:r w:rsidRPr="007C4EE8">
        <w:rPr>
          <w:sz w:val="24"/>
          <w:szCs w:val="24"/>
          <w:lang w:val="en-US"/>
        </w:rPr>
        <w:t>centrofacial</w:t>
      </w:r>
      <w:proofErr w:type="spellEnd"/>
      <w:r w:rsidRPr="007C4EE8">
        <w:rPr>
          <w:sz w:val="24"/>
          <w:szCs w:val="24"/>
          <w:lang w:val="en-US"/>
        </w:rPr>
        <w:t xml:space="preserve"> erythema, papules, pustules, ocular involvement, and inflammation, affects individuals of all demographics and ages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 There is a plentiful database discussing the disease itself, however, there is a large gap in research addressing diagnosis and disparities in people of color. One disparity that will be discussed is attributed to challenges in recognizing </w:t>
      </w:r>
      <w:proofErr w:type="spellStart"/>
      <w:r w:rsidRPr="007C4EE8">
        <w:rPr>
          <w:sz w:val="24"/>
          <w:szCs w:val="24"/>
          <w:lang w:val="en-US"/>
        </w:rPr>
        <w:t>centrofacial</w:t>
      </w:r>
      <w:proofErr w:type="spellEnd"/>
      <w:r w:rsidRPr="007C4EE8">
        <w:rPr>
          <w:sz w:val="24"/>
          <w:szCs w:val="24"/>
          <w:lang w:val="en-US"/>
        </w:rPr>
        <w:t xml:space="preserve"> erythema in darker skin tones, contributing to underdiagnosis. Additionally, contributing factors include skin conditions such as rashes and abnormal pigmentation. This capstone's objective is to review the literature on Rosacea in skin of color with focus on detection, pathophysiology, contributing factors and treatment methods</w:t>
      </w:r>
      <w:r w:rsidR="120E5624" w:rsidRPr="007C4EE8">
        <w:rPr>
          <w:sz w:val="24"/>
          <w:szCs w:val="24"/>
          <w:lang w:val="en-US"/>
        </w:rPr>
        <w:t xml:space="preserve">. </w:t>
      </w:r>
      <w:r w:rsidRPr="007C4EE8">
        <w:rPr>
          <w:sz w:val="24"/>
          <w:szCs w:val="24"/>
          <w:lang w:val="en-US"/>
        </w:rPr>
        <w:t xml:space="preserve">Where appropriate, gaps in knowledge with respect to </w:t>
      </w:r>
      <w:bookmarkStart w:id="1" w:name="_Int_KE7oeUmS"/>
      <w:r w:rsidRPr="007C4EE8">
        <w:rPr>
          <w:sz w:val="24"/>
          <w:szCs w:val="24"/>
          <w:lang w:val="en-US"/>
        </w:rPr>
        <w:t>skin of</w:t>
      </w:r>
      <w:bookmarkEnd w:id="1"/>
      <w:r w:rsidRPr="007C4EE8">
        <w:rPr>
          <w:sz w:val="24"/>
          <w:szCs w:val="24"/>
          <w:lang w:val="en-US"/>
        </w:rPr>
        <w:t xml:space="preserve"> color will be identified and methods to remedy them will be addressed. </w:t>
      </w:r>
    </w:p>
    <w:p w14:paraId="73CB1C8D" w14:textId="0D50E916" w:rsidR="21206BF1" w:rsidRPr="00A45A56" w:rsidRDefault="21206BF1" w:rsidP="00A45A56">
      <w:pPr>
        <w:pStyle w:val="Heading1"/>
        <w:rPr>
          <w:b/>
          <w:bCs/>
          <w:sz w:val="24"/>
          <w:szCs w:val="24"/>
        </w:rPr>
      </w:pPr>
      <w:bookmarkStart w:id="2" w:name="_Toc171010338"/>
      <w:r w:rsidRPr="00A45A56">
        <w:rPr>
          <w:b/>
          <w:bCs/>
          <w:sz w:val="24"/>
          <w:szCs w:val="24"/>
        </w:rPr>
        <w:t>Background</w:t>
      </w:r>
      <w:bookmarkEnd w:id="2"/>
    </w:p>
    <w:p w14:paraId="4F5C0F18" w14:textId="50072F75" w:rsidR="3E1D1CAD" w:rsidRPr="007C4EE8" w:rsidRDefault="3E1D1CAD" w:rsidP="007C4EE8">
      <w:pPr>
        <w:spacing w:line="480" w:lineRule="auto"/>
        <w:ind w:firstLine="720"/>
        <w:rPr>
          <w:sz w:val="24"/>
          <w:szCs w:val="24"/>
          <w:lang w:val="en-US"/>
        </w:rPr>
      </w:pPr>
      <w:r w:rsidRPr="007C4EE8">
        <w:rPr>
          <w:sz w:val="24"/>
          <w:szCs w:val="24"/>
          <w:lang w:val="en-US"/>
        </w:rPr>
        <w:t>The prevalence of rosacea in people of color presents an intriguing disparity, as evidenced by the analysis of the National Ambulatory Medical Care Survey spanning from 1993 to 2010, which revealed significantly lower rates of rosacea among patients of color (Al-</w:t>
      </w:r>
      <w:proofErr w:type="spellStart"/>
      <w:r w:rsidRPr="007C4EE8">
        <w:rPr>
          <w:sz w:val="24"/>
          <w:szCs w:val="24"/>
          <w:lang w:val="en-US"/>
        </w:rPr>
        <w:t>Dabagh</w:t>
      </w:r>
      <w:proofErr w:type="spellEnd"/>
      <w:r w:rsidRPr="007C4EE8">
        <w:rPr>
          <w:sz w:val="24"/>
          <w:szCs w:val="24"/>
          <w:lang w:val="en-US"/>
        </w:rPr>
        <w:t xml:space="preserve"> et al., 2014). This finding prompts a deeper exploration into the factors influencing detection methods. Triggers such as emotional stress, extreme temperatures, dietary factors, and topical irritants are commonly implicated in rosacea onset (</w:t>
      </w:r>
      <w:proofErr w:type="spellStart"/>
      <w:r w:rsidRPr="007C4EE8">
        <w:rPr>
          <w:sz w:val="24"/>
          <w:szCs w:val="24"/>
          <w:lang w:val="en-US"/>
        </w:rPr>
        <w:t>Maliyar</w:t>
      </w:r>
      <w:proofErr w:type="spellEnd"/>
      <w:r w:rsidRPr="007C4EE8">
        <w:rPr>
          <w:sz w:val="24"/>
          <w:szCs w:val="24"/>
          <w:lang w:val="en-US"/>
        </w:rPr>
        <w:t xml:space="preserve"> &amp; Abdulla, 2022)</w:t>
      </w:r>
      <w:r w:rsidR="1DAE50D8" w:rsidRPr="007C4EE8">
        <w:rPr>
          <w:sz w:val="24"/>
          <w:szCs w:val="24"/>
          <w:lang w:val="en-US"/>
        </w:rPr>
        <w:t>.</w:t>
      </w:r>
      <w:r w:rsidRPr="007C4EE8">
        <w:rPr>
          <w:sz w:val="24"/>
          <w:szCs w:val="24"/>
          <w:lang w:val="en-US"/>
        </w:rPr>
        <w:t xml:space="preserve"> </w:t>
      </w:r>
      <w:r w:rsidR="1CAC4049" w:rsidRPr="007C4EE8">
        <w:rPr>
          <w:sz w:val="24"/>
          <w:szCs w:val="24"/>
          <w:lang w:val="en-US"/>
        </w:rPr>
        <w:t>T</w:t>
      </w:r>
      <w:r w:rsidR="45C6E93D" w:rsidRPr="007C4EE8">
        <w:rPr>
          <w:sz w:val="24"/>
          <w:szCs w:val="24"/>
          <w:lang w:val="en-US"/>
        </w:rPr>
        <w:t>here is</w:t>
      </w:r>
      <w:r w:rsidRPr="007C4EE8">
        <w:rPr>
          <w:sz w:val="24"/>
          <w:szCs w:val="24"/>
          <w:lang w:val="en-US"/>
        </w:rPr>
        <w:t xml:space="preserve"> a growing body of literature suggesting that environmental stressors and skin sensitivity play pivotal roles in its development. </w:t>
      </w:r>
      <w:r w:rsidRPr="007C4EE8">
        <w:rPr>
          <w:sz w:val="24"/>
          <w:szCs w:val="24"/>
          <w:lang w:val="en-US"/>
        </w:rPr>
        <w:lastRenderedPageBreak/>
        <w:t xml:space="preserve">Recent advances in research have elucidated the roles of innate and adaptive immune systems and neurovascular dysregulation in rosacea’s pathophysiology. </w:t>
      </w:r>
    </w:p>
    <w:p w14:paraId="6F3ED583" w14:textId="6B8017DB" w:rsidR="52895BB0" w:rsidRPr="00D01C32" w:rsidRDefault="52895BB0" w:rsidP="006E3DAE">
      <w:pPr>
        <w:pStyle w:val="Heading2"/>
        <w:rPr>
          <w:sz w:val="24"/>
          <w:szCs w:val="24"/>
        </w:rPr>
      </w:pPr>
      <w:bookmarkStart w:id="3" w:name="_Toc171010339"/>
      <w:r w:rsidRPr="00D01C32">
        <w:rPr>
          <w:sz w:val="24"/>
          <w:szCs w:val="24"/>
        </w:rPr>
        <w:t>Prevalence</w:t>
      </w:r>
      <w:bookmarkEnd w:id="3"/>
    </w:p>
    <w:p w14:paraId="6D586360" w14:textId="21DA4777" w:rsidR="52895BB0" w:rsidRPr="007C4EE8" w:rsidRDefault="77E49627" w:rsidP="007C4EE8">
      <w:pPr>
        <w:spacing w:line="480" w:lineRule="auto"/>
        <w:rPr>
          <w:sz w:val="24"/>
          <w:szCs w:val="24"/>
        </w:rPr>
      </w:pPr>
      <w:r w:rsidRPr="007C4EE8">
        <w:rPr>
          <w:sz w:val="24"/>
          <w:szCs w:val="24"/>
          <w:lang w:val="en-US"/>
        </w:rPr>
        <w:t xml:space="preserve">Despite the growing awareness of rosacea as a prevalent dermatological condition, its occurrence among individuals of color appears notably lower. </w:t>
      </w:r>
      <w:r w:rsidR="753C99A4" w:rsidRPr="007C4EE8">
        <w:rPr>
          <w:sz w:val="24"/>
          <w:szCs w:val="24"/>
          <w:lang w:val="en-US"/>
        </w:rPr>
        <w:t>The study, led by Al-</w:t>
      </w:r>
      <w:proofErr w:type="spellStart"/>
      <w:r w:rsidR="753C99A4" w:rsidRPr="007C4EE8">
        <w:rPr>
          <w:sz w:val="24"/>
          <w:szCs w:val="24"/>
          <w:lang w:val="en-US"/>
        </w:rPr>
        <w:t>Dabagh</w:t>
      </w:r>
      <w:proofErr w:type="spellEnd"/>
      <w:r w:rsidR="753C99A4" w:rsidRPr="007C4EE8">
        <w:rPr>
          <w:sz w:val="24"/>
          <w:szCs w:val="24"/>
          <w:lang w:val="en-US"/>
        </w:rPr>
        <w:t xml:space="preserve"> et al. in 2014</w:t>
      </w:r>
      <w:r w:rsidR="4BB7DDEA" w:rsidRPr="007C4EE8">
        <w:rPr>
          <w:sz w:val="24"/>
          <w:szCs w:val="24"/>
          <w:lang w:val="en-US"/>
        </w:rPr>
        <w:t xml:space="preserve"> reviewing the National Ambulatory Medical Care Survey (NAMCS) for 1993-2010 for racial and ethnic distribution of patients with rosacea</w:t>
      </w:r>
      <w:r w:rsidR="753C99A4" w:rsidRPr="007C4EE8">
        <w:rPr>
          <w:sz w:val="24"/>
          <w:szCs w:val="24"/>
          <w:lang w:val="en-US"/>
        </w:rPr>
        <w:t>, unveiled a striking contrast in the prevalence rates of rosacea between patients of color and their counterparts of lighter skin tones. Figure 1</w:t>
      </w:r>
      <w:r w:rsidR="410F69A3" w:rsidRPr="007C4EE8">
        <w:rPr>
          <w:sz w:val="24"/>
          <w:szCs w:val="24"/>
          <w:lang w:val="en-US"/>
        </w:rPr>
        <w:t>.</w:t>
      </w:r>
      <w:r w:rsidR="753C99A4" w:rsidRPr="007C4EE8">
        <w:rPr>
          <w:sz w:val="24"/>
          <w:szCs w:val="24"/>
          <w:lang w:val="en-US"/>
        </w:rPr>
        <w:t xml:space="preserve"> reve</w:t>
      </w:r>
      <w:r w:rsidR="1BCC8B4E" w:rsidRPr="007C4EE8">
        <w:rPr>
          <w:sz w:val="24"/>
          <w:szCs w:val="24"/>
          <w:lang w:val="en-US"/>
        </w:rPr>
        <w:t>a</w:t>
      </w:r>
      <w:r w:rsidR="753C99A4" w:rsidRPr="007C4EE8">
        <w:rPr>
          <w:sz w:val="24"/>
          <w:szCs w:val="24"/>
          <w:lang w:val="en-US"/>
        </w:rPr>
        <w:t>ls that</w:t>
      </w:r>
      <w:r w:rsidR="53CDC567" w:rsidRPr="007C4EE8">
        <w:rPr>
          <w:sz w:val="24"/>
          <w:szCs w:val="24"/>
          <w:lang w:val="en-US"/>
        </w:rPr>
        <w:t xml:space="preserve"> minority demographics </w:t>
      </w:r>
      <w:r w:rsidR="65662773" w:rsidRPr="007C4EE8">
        <w:rPr>
          <w:sz w:val="24"/>
          <w:szCs w:val="24"/>
          <w:lang w:val="en-US"/>
        </w:rPr>
        <w:t>such</w:t>
      </w:r>
      <w:r w:rsidR="53CDC567" w:rsidRPr="007C4EE8">
        <w:rPr>
          <w:sz w:val="24"/>
          <w:szCs w:val="24"/>
          <w:lang w:val="en-US"/>
        </w:rPr>
        <w:t xml:space="preserve"> </w:t>
      </w:r>
      <w:r w:rsidR="579BDCD7" w:rsidRPr="007C4EE8">
        <w:rPr>
          <w:sz w:val="24"/>
          <w:szCs w:val="24"/>
          <w:lang w:val="en-US"/>
        </w:rPr>
        <w:t xml:space="preserve">as </w:t>
      </w:r>
      <w:r w:rsidR="542C6A43" w:rsidRPr="007C4EE8">
        <w:rPr>
          <w:sz w:val="24"/>
          <w:szCs w:val="24"/>
          <w:lang w:val="en-US"/>
        </w:rPr>
        <w:t>B</w:t>
      </w:r>
      <w:r w:rsidR="53CDC567" w:rsidRPr="007C4EE8">
        <w:rPr>
          <w:sz w:val="24"/>
          <w:szCs w:val="24"/>
          <w:lang w:val="en-US"/>
        </w:rPr>
        <w:t xml:space="preserve">lack, </w:t>
      </w:r>
      <w:r w:rsidR="3286F050" w:rsidRPr="007C4EE8">
        <w:rPr>
          <w:sz w:val="24"/>
          <w:szCs w:val="24"/>
          <w:lang w:val="en-US"/>
        </w:rPr>
        <w:t>Asian</w:t>
      </w:r>
      <w:r w:rsidR="53CDC567" w:rsidRPr="007C4EE8">
        <w:rPr>
          <w:sz w:val="24"/>
          <w:szCs w:val="24"/>
          <w:lang w:val="en-US"/>
        </w:rPr>
        <w:t xml:space="preserve">, and </w:t>
      </w:r>
      <w:r w:rsidR="41CCFC3B" w:rsidRPr="007C4EE8">
        <w:rPr>
          <w:sz w:val="24"/>
          <w:szCs w:val="24"/>
          <w:lang w:val="en-US"/>
        </w:rPr>
        <w:t>Hispanic</w:t>
      </w:r>
      <w:r w:rsidR="3DA31F5C" w:rsidRPr="007C4EE8">
        <w:rPr>
          <w:sz w:val="24"/>
          <w:szCs w:val="24"/>
          <w:lang w:val="en-US"/>
        </w:rPr>
        <w:t xml:space="preserve"> ethnicities have extremely low </w:t>
      </w:r>
      <w:r w:rsidR="20AAA15E" w:rsidRPr="007C4EE8">
        <w:rPr>
          <w:sz w:val="24"/>
          <w:szCs w:val="24"/>
          <w:lang w:val="en-US"/>
        </w:rPr>
        <w:t>prevalence rates</w:t>
      </w:r>
      <w:r w:rsidR="6A3D2FB6" w:rsidRPr="007C4EE8">
        <w:rPr>
          <w:sz w:val="24"/>
          <w:szCs w:val="24"/>
          <w:lang w:val="en-US"/>
        </w:rPr>
        <w:t xml:space="preserve"> compared to lighter complexioned individuals. This intriguing observation underscores the need for further research to elucidate the underlying factors contributing to this demographic disparity in rosacea diagnosis and to ensure equitable access to diagnosis and treatment for all individuals affected by this condition.</w:t>
      </w:r>
    </w:p>
    <w:p w14:paraId="53C510A8" w14:textId="1D7BF390" w:rsidR="45F4B011" w:rsidRPr="007C4EE8" w:rsidRDefault="45F4B011" w:rsidP="007C4EE8">
      <w:pPr>
        <w:spacing w:line="480" w:lineRule="auto"/>
        <w:rPr>
          <w:sz w:val="24"/>
          <w:szCs w:val="24"/>
        </w:rPr>
      </w:pPr>
      <w:r w:rsidRPr="007C4EE8">
        <w:rPr>
          <w:sz w:val="24"/>
          <w:szCs w:val="24"/>
        </w:rPr>
        <w:t xml:space="preserve"> </w:t>
      </w:r>
      <w:r w:rsidR="45707DEF" w:rsidRPr="007C4EE8">
        <w:rPr>
          <w:noProof/>
          <w:sz w:val="24"/>
          <w:szCs w:val="24"/>
        </w:rPr>
        <w:drawing>
          <wp:inline distT="0" distB="0" distL="0" distR="0" wp14:anchorId="4FFCA4B0" wp14:editId="5501429D">
            <wp:extent cx="4583458" cy="2894042"/>
            <wp:effectExtent l="0" t="0" r="0" b="0"/>
            <wp:docPr id="1177096692" name="Picture 117709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83458" cy="2894042"/>
                    </a:xfrm>
                    <a:prstGeom prst="rect">
                      <a:avLst/>
                    </a:prstGeom>
                  </pic:spPr>
                </pic:pic>
              </a:graphicData>
            </a:graphic>
          </wp:inline>
        </w:drawing>
      </w:r>
    </w:p>
    <w:p w14:paraId="085A8544" w14:textId="7261A90E" w:rsidR="4826B38C" w:rsidRPr="007C4EE8" w:rsidRDefault="4826B38C" w:rsidP="007C4EE8">
      <w:pPr>
        <w:spacing w:line="480" w:lineRule="auto"/>
        <w:rPr>
          <w:sz w:val="24"/>
          <w:szCs w:val="24"/>
        </w:rPr>
      </w:pPr>
      <w:r w:rsidRPr="007C4EE8">
        <w:rPr>
          <w:b/>
          <w:bCs/>
          <w:sz w:val="24"/>
          <w:szCs w:val="24"/>
        </w:rPr>
        <w:lastRenderedPageBreak/>
        <w:t>Figure 1.</w:t>
      </w:r>
      <w:r w:rsidRPr="007C4EE8">
        <w:rPr>
          <w:sz w:val="24"/>
          <w:szCs w:val="24"/>
        </w:rPr>
        <w:t xml:space="preserve"> </w:t>
      </w:r>
      <w:r w:rsidR="7C1657B3" w:rsidRPr="007C4EE8">
        <w:rPr>
          <w:sz w:val="24"/>
          <w:szCs w:val="24"/>
        </w:rPr>
        <w:t>Ethnic Distribution of Rosacea Prevalence</w:t>
      </w:r>
      <w:r w:rsidR="5716A8EE" w:rsidRPr="007C4EE8">
        <w:rPr>
          <w:sz w:val="24"/>
          <w:szCs w:val="24"/>
        </w:rPr>
        <w:t xml:space="preserve"> from the National Ambulatory Medical Care Survey (NAMCS) for 1993-2010 for racial and ethnic distribution of patients with rosacea.</w:t>
      </w:r>
    </w:p>
    <w:p w14:paraId="6FAC2359" w14:textId="3E26FB43" w:rsidR="5F0EB272" w:rsidRPr="007C4EE8" w:rsidRDefault="5F0EB272" w:rsidP="007C4EE8">
      <w:pPr>
        <w:spacing w:line="480" w:lineRule="auto"/>
        <w:ind w:firstLine="720"/>
        <w:rPr>
          <w:sz w:val="24"/>
          <w:szCs w:val="24"/>
          <w:lang w:val="en-US"/>
        </w:rPr>
      </w:pPr>
      <w:r w:rsidRPr="007C4EE8">
        <w:rPr>
          <w:sz w:val="24"/>
          <w:szCs w:val="24"/>
          <w:lang w:val="en-US"/>
        </w:rPr>
        <w:t>Interestingly, when examining prevalence based on detection methods employed by studies of dermatological outpatients including 15 populations from 14 different countries, substantial disparities in prevalence emerge (</w:t>
      </w:r>
      <w:proofErr w:type="spellStart"/>
      <w:r w:rsidRPr="007C4EE8">
        <w:rPr>
          <w:sz w:val="24"/>
          <w:szCs w:val="24"/>
          <w:lang w:val="en-US"/>
        </w:rPr>
        <w:t>Gether</w:t>
      </w:r>
      <w:proofErr w:type="spellEnd"/>
      <w:r w:rsidRPr="007C4EE8">
        <w:rPr>
          <w:sz w:val="24"/>
          <w:szCs w:val="24"/>
          <w:lang w:val="en-US"/>
        </w:rPr>
        <w:t>, Overgaard et al. 2018). In Figure 2. Self-reported cases exhibited a notably higher pooled proportion of 9.71%, whereas dermatologist-diagnosed cases showed a slightly lower proportion at 5.53%. In contrast, healthcare database estimates, utilizing the International Classification of Diseases (ICD) code for rosacea, yielded a substantially lower pooled proportion of 1.05% (Please see Figure 2). These findings underscore the importance of considering both the population and the detection method when interpreting prevalence data for rosacea.</w:t>
      </w:r>
    </w:p>
    <w:p w14:paraId="7FCD0047" w14:textId="5C0D5A85" w:rsidR="5F0EB272" w:rsidRPr="007C4EE8" w:rsidRDefault="5F0EB272" w:rsidP="007C4EE8">
      <w:pPr>
        <w:spacing w:line="480" w:lineRule="auto"/>
        <w:jc w:val="both"/>
        <w:rPr>
          <w:sz w:val="24"/>
          <w:szCs w:val="24"/>
        </w:rPr>
      </w:pPr>
      <w:r w:rsidRPr="007C4EE8">
        <w:rPr>
          <w:noProof/>
          <w:sz w:val="24"/>
          <w:szCs w:val="24"/>
        </w:rPr>
        <w:drawing>
          <wp:inline distT="0" distB="0" distL="0" distR="0" wp14:anchorId="3C848510" wp14:editId="057BBF52">
            <wp:extent cx="4572000" cy="2886075"/>
            <wp:effectExtent l="0" t="0" r="0" b="0"/>
            <wp:docPr id="1630314687" name="Picture 163031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2886075"/>
                    </a:xfrm>
                    <a:prstGeom prst="rect">
                      <a:avLst/>
                    </a:prstGeom>
                  </pic:spPr>
                </pic:pic>
              </a:graphicData>
            </a:graphic>
          </wp:inline>
        </w:drawing>
      </w:r>
    </w:p>
    <w:p w14:paraId="7BA6D38E" w14:textId="1006BB27" w:rsidR="5F0EB272" w:rsidRPr="007C4EE8" w:rsidRDefault="5F0EB272" w:rsidP="007C4EE8">
      <w:pPr>
        <w:spacing w:line="480" w:lineRule="auto"/>
        <w:rPr>
          <w:sz w:val="24"/>
          <w:szCs w:val="24"/>
        </w:rPr>
      </w:pPr>
      <w:r w:rsidRPr="007C4EE8">
        <w:rPr>
          <w:b/>
          <w:bCs/>
          <w:sz w:val="24"/>
          <w:szCs w:val="24"/>
        </w:rPr>
        <w:lastRenderedPageBreak/>
        <w:t>Figure 2.</w:t>
      </w:r>
      <w:r w:rsidRPr="007C4EE8">
        <w:rPr>
          <w:sz w:val="24"/>
          <w:szCs w:val="24"/>
        </w:rPr>
        <w:t xml:space="preserve"> Disparities in Rosacea Prevalence by Diagnostic Method based on studies from dermatological outpatient studies reporting the incidence and/or prevalence of rosacea.</w:t>
      </w:r>
    </w:p>
    <w:p w14:paraId="1BDCD098" w14:textId="77777777" w:rsidR="001554EA" w:rsidRPr="00D01C32" w:rsidRDefault="001554EA" w:rsidP="006E3DAE">
      <w:pPr>
        <w:pStyle w:val="Heading2"/>
        <w:rPr>
          <w:sz w:val="24"/>
          <w:szCs w:val="24"/>
          <w:lang w:val="en-US"/>
        </w:rPr>
      </w:pPr>
      <w:bookmarkStart w:id="4" w:name="_Toc171010340"/>
      <w:r w:rsidRPr="00D01C32">
        <w:rPr>
          <w:sz w:val="24"/>
          <w:szCs w:val="24"/>
          <w:lang w:val="en-US"/>
        </w:rPr>
        <w:t>Biomarkers</w:t>
      </w:r>
      <w:bookmarkEnd w:id="4"/>
    </w:p>
    <w:p w14:paraId="36F8B52B" w14:textId="0526F005" w:rsidR="00F545DB" w:rsidRPr="00F545DB" w:rsidRDefault="001554EA" w:rsidP="00F545DB">
      <w:pPr>
        <w:spacing w:before="240" w:line="480" w:lineRule="auto"/>
        <w:ind w:firstLine="720"/>
        <w:rPr>
          <w:sz w:val="24"/>
          <w:szCs w:val="24"/>
          <w:lang w:val="en-US"/>
        </w:rPr>
      </w:pPr>
      <w:r w:rsidRPr="007C4EE8">
        <w:rPr>
          <w:sz w:val="24"/>
          <w:szCs w:val="24"/>
          <w:lang w:val="en-US"/>
        </w:rPr>
        <w:t>Biomarkers are biological molecules found in the body that indicate normal or abnormal processes</w:t>
      </w:r>
      <w:r w:rsidR="00284FDE" w:rsidRPr="007C4EE8">
        <w:rPr>
          <w:sz w:val="24"/>
          <w:szCs w:val="24"/>
          <w:lang w:val="en-US"/>
        </w:rPr>
        <w:t xml:space="preserve"> or </w:t>
      </w:r>
      <w:r w:rsidRPr="007C4EE8">
        <w:rPr>
          <w:sz w:val="24"/>
          <w:szCs w:val="24"/>
          <w:lang w:val="en-US"/>
        </w:rPr>
        <w:t xml:space="preserve">conditions (National Cancer Institute 2023). </w:t>
      </w:r>
      <w:r w:rsidR="00284FDE" w:rsidRPr="007C4EE8">
        <w:rPr>
          <w:sz w:val="24"/>
          <w:szCs w:val="24"/>
          <w:lang w:val="en-US"/>
        </w:rPr>
        <w:t>B</w:t>
      </w:r>
      <w:r w:rsidRPr="007C4EE8">
        <w:rPr>
          <w:sz w:val="24"/>
          <w:szCs w:val="24"/>
          <w:lang w:val="en-US"/>
        </w:rPr>
        <w:t>iomarkers are a focus that originally began from cancer research</w:t>
      </w:r>
      <w:r w:rsidR="00284FDE" w:rsidRPr="007C4EE8">
        <w:rPr>
          <w:sz w:val="24"/>
          <w:szCs w:val="24"/>
          <w:lang w:val="en-US"/>
        </w:rPr>
        <w:t xml:space="preserve"> and has now extended into dermatology</w:t>
      </w:r>
      <w:r w:rsidRPr="007C4EE8">
        <w:rPr>
          <w:sz w:val="24"/>
          <w:szCs w:val="24"/>
          <w:lang w:val="en-US"/>
        </w:rPr>
        <w:t xml:space="preserve">. In skin, biomarkers also play a critical part in </w:t>
      </w:r>
      <w:r w:rsidR="00403311" w:rsidRPr="007C4EE8">
        <w:rPr>
          <w:sz w:val="24"/>
          <w:szCs w:val="24"/>
          <w:lang w:val="en-US"/>
        </w:rPr>
        <w:t xml:space="preserve">progression, diagnosis, and treatment of skin conditions </w:t>
      </w:r>
      <w:r w:rsidRPr="007C4EE8">
        <w:rPr>
          <w:sz w:val="24"/>
          <w:szCs w:val="24"/>
          <w:lang w:val="en-US"/>
        </w:rPr>
        <w:t>(</w:t>
      </w:r>
      <w:proofErr w:type="spellStart"/>
      <w:r w:rsidRPr="007C4EE8">
        <w:rPr>
          <w:sz w:val="24"/>
          <w:szCs w:val="24"/>
          <w:lang w:val="en-US"/>
        </w:rPr>
        <w:t>Geng</w:t>
      </w:r>
      <w:proofErr w:type="spellEnd"/>
      <w:r w:rsidRPr="007C4EE8">
        <w:rPr>
          <w:sz w:val="24"/>
          <w:szCs w:val="24"/>
          <w:lang w:val="en-US"/>
        </w:rPr>
        <w:t>, Bourkas et al. 2024). Rosacea biomarkers are grouped into three categories pertaining to the innate immune system</w:t>
      </w:r>
      <w:r w:rsidR="00284FDE" w:rsidRPr="007C4EE8">
        <w:rPr>
          <w:sz w:val="24"/>
          <w:szCs w:val="24"/>
          <w:lang w:val="en-US"/>
        </w:rPr>
        <w:t>:</w:t>
      </w:r>
      <w:r w:rsidRPr="007C4EE8">
        <w:rPr>
          <w:sz w:val="24"/>
          <w:szCs w:val="24"/>
          <w:lang w:val="en-US"/>
        </w:rPr>
        <w:t xml:space="preserve"> Th1, Th2, and Th17</w:t>
      </w:r>
      <w:r w:rsidR="00F545DB">
        <w:rPr>
          <w:sz w:val="24"/>
          <w:szCs w:val="24"/>
          <w:lang w:val="en-US"/>
        </w:rPr>
        <w:t xml:space="preserve"> (See Table 1.)</w:t>
      </w:r>
      <w:r w:rsidRPr="007C4EE8">
        <w:rPr>
          <w:sz w:val="24"/>
          <w:szCs w:val="24"/>
          <w:lang w:val="en-US"/>
        </w:rPr>
        <w:t xml:space="preserve">. </w:t>
      </w:r>
      <w:r w:rsidR="00403311" w:rsidRPr="007C4EE8">
        <w:rPr>
          <w:sz w:val="24"/>
          <w:szCs w:val="24"/>
          <w:lang w:val="en-US"/>
        </w:rPr>
        <w:t>The specific role of these categories includes</w:t>
      </w:r>
      <w:r w:rsidR="00403311" w:rsidRPr="007C4EE8">
        <w:rPr>
          <w:sz w:val="24"/>
          <w:szCs w:val="24"/>
          <w:lang w:val="en-US"/>
        </w:rPr>
        <w:t xml:space="preserve"> inflammatory markers like C-reactive protein (CRP), which show</w:t>
      </w:r>
      <w:r w:rsidR="00403311" w:rsidRPr="007C4EE8">
        <w:rPr>
          <w:sz w:val="24"/>
          <w:szCs w:val="24"/>
          <w:lang w:val="en-US"/>
        </w:rPr>
        <w:t>s</w:t>
      </w:r>
      <w:r w:rsidR="00403311" w:rsidRPr="007C4EE8">
        <w:rPr>
          <w:sz w:val="24"/>
          <w:szCs w:val="24"/>
          <w:lang w:val="en-US"/>
        </w:rPr>
        <w:t xml:space="preserve"> the existence of systemic inflammation linked to rosacea (Two et al., 2017)</w:t>
      </w:r>
      <w:r w:rsidR="00A01804" w:rsidRPr="007C4EE8">
        <w:rPr>
          <w:sz w:val="24"/>
          <w:szCs w:val="24"/>
          <w:lang w:val="en-US"/>
        </w:rPr>
        <w:t>.</w:t>
      </w:r>
      <w:r w:rsidR="00403311" w:rsidRPr="007C4EE8">
        <w:rPr>
          <w:sz w:val="24"/>
          <w:szCs w:val="24"/>
          <w:lang w:val="en-US"/>
        </w:rPr>
        <w:t xml:space="preserve"> </w:t>
      </w:r>
      <w:r w:rsidR="00403311" w:rsidRPr="007C4EE8">
        <w:rPr>
          <w:sz w:val="24"/>
          <w:szCs w:val="24"/>
          <w:lang w:val="en-US"/>
        </w:rPr>
        <w:t xml:space="preserve">Further, important roles in the pathophysiology of rosacea have been found for antimicrobial peptides such </w:t>
      </w:r>
      <w:proofErr w:type="spellStart"/>
      <w:r w:rsidR="00403311" w:rsidRPr="007C4EE8">
        <w:rPr>
          <w:sz w:val="24"/>
          <w:szCs w:val="24"/>
          <w:lang w:val="en-US"/>
        </w:rPr>
        <w:t>cathelicidin</w:t>
      </w:r>
      <w:proofErr w:type="spellEnd"/>
      <w:r w:rsidR="00403311" w:rsidRPr="007C4EE8">
        <w:rPr>
          <w:sz w:val="24"/>
          <w:szCs w:val="24"/>
          <w:lang w:val="en-US"/>
        </w:rPr>
        <w:t xml:space="preserve"> and its peptide LL-37, which are responsible for the inflammatory and vascular alterations seen in the skin (Yamasaki et al., 2007).</w:t>
      </w:r>
      <w:r w:rsidR="00447F27" w:rsidRPr="007C4EE8">
        <w:rPr>
          <w:sz w:val="24"/>
          <w:szCs w:val="24"/>
          <w:lang w:val="en-US"/>
        </w:rPr>
        <w:t xml:space="preserve"> </w:t>
      </w:r>
      <w:r w:rsidR="00B77A7A">
        <w:rPr>
          <w:sz w:val="24"/>
          <w:szCs w:val="24"/>
          <w:lang w:val="en-US"/>
        </w:rPr>
        <w:t>Table 1. Shows the organization of each biomarker applicable to rosacea and the specific subtype they affect.</w:t>
      </w:r>
    </w:p>
    <w:tbl>
      <w:tblPr>
        <w:tblW w:w="9252" w:type="dxa"/>
        <w:tblLook w:val="04A0" w:firstRow="1" w:lastRow="0" w:firstColumn="1" w:lastColumn="0" w:noHBand="0" w:noVBand="1"/>
      </w:tblPr>
      <w:tblGrid>
        <w:gridCol w:w="1246"/>
        <w:gridCol w:w="1795"/>
        <w:gridCol w:w="1968"/>
        <w:gridCol w:w="2499"/>
        <w:gridCol w:w="1744"/>
      </w:tblGrid>
      <w:tr w:rsidR="00F545DB" w:rsidRPr="00F545DB" w14:paraId="09B8E255" w14:textId="77777777" w:rsidTr="00B77A7A">
        <w:trPr>
          <w:trHeight w:val="320"/>
        </w:trPr>
        <w:tc>
          <w:tcPr>
            <w:tcW w:w="9252" w:type="dxa"/>
            <w:gridSpan w:val="5"/>
            <w:tcBorders>
              <w:top w:val="single" w:sz="4" w:space="0" w:color="auto"/>
              <w:left w:val="single" w:sz="4" w:space="0" w:color="auto"/>
              <w:bottom w:val="single" w:sz="4" w:space="0" w:color="auto"/>
              <w:right w:val="single" w:sz="4" w:space="0" w:color="000000"/>
            </w:tcBorders>
            <w:shd w:val="clear" w:color="000000" w:fill="A6C9EC"/>
            <w:noWrap/>
            <w:vAlign w:val="bottom"/>
            <w:hideMark/>
          </w:tcPr>
          <w:p w14:paraId="2E2CDA21" w14:textId="77777777" w:rsidR="00F545DB" w:rsidRPr="00F545DB" w:rsidRDefault="00F545DB" w:rsidP="00F545DB">
            <w:pPr>
              <w:spacing w:line="240" w:lineRule="auto"/>
              <w:jc w:val="center"/>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Th1 Biomarkers:</w:t>
            </w:r>
          </w:p>
        </w:tc>
      </w:tr>
      <w:tr w:rsidR="00F545DB" w:rsidRPr="00F545DB" w14:paraId="37CDE307" w14:textId="77777777" w:rsidTr="00B77A7A">
        <w:trPr>
          <w:trHeight w:val="320"/>
        </w:trPr>
        <w:tc>
          <w:tcPr>
            <w:tcW w:w="1246" w:type="dxa"/>
            <w:tcBorders>
              <w:top w:val="nil"/>
              <w:left w:val="single" w:sz="4" w:space="0" w:color="auto"/>
              <w:bottom w:val="single" w:sz="4" w:space="0" w:color="auto"/>
              <w:right w:val="single" w:sz="4" w:space="0" w:color="auto"/>
            </w:tcBorders>
            <w:shd w:val="clear" w:color="000000" w:fill="DAE9F8"/>
            <w:noWrap/>
            <w:vAlign w:val="bottom"/>
            <w:hideMark/>
          </w:tcPr>
          <w:p w14:paraId="14CF8F27"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w:t>
            </w:r>
          </w:p>
        </w:tc>
        <w:tc>
          <w:tcPr>
            <w:tcW w:w="1795" w:type="dxa"/>
            <w:tcBorders>
              <w:top w:val="nil"/>
              <w:left w:val="nil"/>
              <w:bottom w:val="single" w:sz="4" w:space="0" w:color="auto"/>
              <w:right w:val="single" w:sz="4" w:space="0" w:color="auto"/>
            </w:tcBorders>
            <w:shd w:val="clear" w:color="000000" w:fill="DAE9F8"/>
            <w:noWrap/>
            <w:vAlign w:val="bottom"/>
            <w:hideMark/>
          </w:tcPr>
          <w:p w14:paraId="79B38E73"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Study</w:t>
            </w:r>
          </w:p>
        </w:tc>
        <w:tc>
          <w:tcPr>
            <w:tcW w:w="1968" w:type="dxa"/>
            <w:tcBorders>
              <w:top w:val="nil"/>
              <w:left w:val="nil"/>
              <w:bottom w:val="single" w:sz="4" w:space="0" w:color="auto"/>
              <w:right w:val="single" w:sz="4" w:space="0" w:color="auto"/>
            </w:tcBorders>
            <w:shd w:val="clear" w:color="000000" w:fill="DAE9F8"/>
            <w:noWrap/>
            <w:vAlign w:val="bottom"/>
            <w:hideMark/>
          </w:tcPr>
          <w:p w14:paraId="786CD653"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Overall association</w:t>
            </w:r>
          </w:p>
        </w:tc>
        <w:tc>
          <w:tcPr>
            <w:tcW w:w="2499" w:type="dxa"/>
            <w:tcBorders>
              <w:top w:val="nil"/>
              <w:left w:val="nil"/>
              <w:bottom w:val="single" w:sz="4" w:space="0" w:color="auto"/>
              <w:right w:val="single" w:sz="4" w:space="0" w:color="auto"/>
            </w:tcBorders>
            <w:shd w:val="clear" w:color="000000" w:fill="DAE9F8"/>
            <w:noWrap/>
            <w:vAlign w:val="bottom"/>
            <w:hideMark/>
          </w:tcPr>
          <w:p w14:paraId="0267146F"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 type, medium</w:t>
            </w:r>
          </w:p>
        </w:tc>
        <w:tc>
          <w:tcPr>
            <w:tcW w:w="1744" w:type="dxa"/>
            <w:tcBorders>
              <w:top w:val="nil"/>
              <w:left w:val="nil"/>
              <w:bottom w:val="single" w:sz="4" w:space="0" w:color="auto"/>
              <w:right w:val="single" w:sz="4" w:space="0" w:color="auto"/>
            </w:tcBorders>
            <w:shd w:val="clear" w:color="000000" w:fill="DAE9F8"/>
            <w:noWrap/>
            <w:vAlign w:val="bottom"/>
            <w:hideMark/>
          </w:tcPr>
          <w:p w14:paraId="4787978D"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Rosacea subtype</w:t>
            </w:r>
          </w:p>
        </w:tc>
      </w:tr>
      <w:tr w:rsidR="00F545DB" w:rsidRPr="00F545DB" w14:paraId="561E5702"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708B561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IL-12β</w:t>
            </w:r>
          </w:p>
        </w:tc>
        <w:tc>
          <w:tcPr>
            <w:tcW w:w="1795" w:type="dxa"/>
            <w:tcBorders>
              <w:top w:val="nil"/>
              <w:left w:val="nil"/>
              <w:bottom w:val="single" w:sz="4" w:space="0" w:color="auto"/>
              <w:right w:val="single" w:sz="4" w:space="0" w:color="auto"/>
            </w:tcBorders>
            <w:shd w:val="clear" w:color="auto" w:fill="auto"/>
            <w:noWrap/>
            <w:vAlign w:val="bottom"/>
            <w:hideMark/>
          </w:tcPr>
          <w:p w14:paraId="2C7376D2"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Mylonas</w:t>
            </w:r>
            <w:proofErr w:type="spellEnd"/>
            <w:r w:rsidRPr="00F545DB">
              <w:rPr>
                <w:rFonts w:ascii="Aptos Narrow" w:eastAsia="Times New Roman" w:hAnsi="Aptos Narrow" w:cs="Times New Roman"/>
                <w:color w:val="000000"/>
                <w:sz w:val="24"/>
                <w:szCs w:val="24"/>
                <w:lang w:val="en-US" w:eastAsia="en-US"/>
              </w:rPr>
              <w:t>, 202317</w:t>
            </w:r>
          </w:p>
        </w:tc>
        <w:tc>
          <w:tcPr>
            <w:tcW w:w="1968" w:type="dxa"/>
            <w:tcBorders>
              <w:top w:val="nil"/>
              <w:left w:val="nil"/>
              <w:bottom w:val="single" w:sz="4" w:space="0" w:color="auto"/>
              <w:right w:val="single" w:sz="4" w:space="0" w:color="auto"/>
            </w:tcBorders>
            <w:shd w:val="clear" w:color="auto" w:fill="auto"/>
            <w:noWrap/>
            <w:vAlign w:val="bottom"/>
            <w:hideMark/>
          </w:tcPr>
          <w:p w14:paraId="64A2197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39B91AB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mRNA, Skin</w:t>
            </w:r>
          </w:p>
        </w:tc>
        <w:tc>
          <w:tcPr>
            <w:tcW w:w="1744" w:type="dxa"/>
            <w:tcBorders>
              <w:top w:val="nil"/>
              <w:left w:val="nil"/>
              <w:bottom w:val="single" w:sz="4" w:space="0" w:color="auto"/>
              <w:right w:val="single" w:sz="4" w:space="0" w:color="auto"/>
            </w:tcBorders>
            <w:shd w:val="clear" w:color="auto" w:fill="auto"/>
            <w:noWrap/>
            <w:vAlign w:val="bottom"/>
            <w:hideMark/>
          </w:tcPr>
          <w:p w14:paraId="0D42C8C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 R</w:t>
            </w:r>
          </w:p>
        </w:tc>
      </w:tr>
      <w:tr w:rsidR="00F545DB" w:rsidRPr="00F545DB" w14:paraId="53C3354A"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64FCCF3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IL-18</w:t>
            </w:r>
          </w:p>
        </w:tc>
        <w:tc>
          <w:tcPr>
            <w:tcW w:w="1795" w:type="dxa"/>
            <w:tcBorders>
              <w:top w:val="nil"/>
              <w:left w:val="nil"/>
              <w:bottom w:val="single" w:sz="4" w:space="0" w:color="auto"/>
              <w:right w:val="single" w:sz="4" w:space="0" w:color="auto"/>
            </w:tcBorders>
            <w:shd w:val="clear" w:color="auto" w:fill="auto"/>
            <w:noWrap/>
            <w:vAlign w:val="bottom"/>
            <w:hideMark/>
          </w:tcPr>
          <w:p w14:paraId="51A5D1C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616EDCD2"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Decrease</w:t>
            </w:r>
          </w:p>
        </w:tc>
        <w:tc>
          <w:tcPr>
            <w:tcW w:w="2499" w:type="dxa"/>
            <w:tcBorders>
              <w:top w:val="nil"/>
              <w:left w:val="nil"/>
              <w:bottom w:val="single" w:sz="4" w:space="0" w:color="auto"/>
              <w:right w:val="single" w:sz="4" w:space="0" w:color="auto"/>
            </w:tcBorders>
            <w:shd w:val="clear" w:color="auto" w:fill="auto"/>
            <w:noWrap/>
            <w:vAlign w:val="bottom"/>
            <w:hideMark/>
          </w:tcPr>
          <w:p w14:paraId="751A5055"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0D88CA3D"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3BDE22C0"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02E03B64"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TNF-α</w:t>
            </w:r>
          </w:p>
        </w:tc>
        <w:tc>
          <w:tcPr>
            <w:tcW w:w="1795" w:type="dxa"/>
            <w:tcBorders>
              <w:top w:val="nil"/>
              <w:left w:val="nil"/>
              <w:bottom w:val="single" w:sz="4" w:space="0" w:color="auto"/>
              <w:right w:val="single" w:sz="4" w:space="0" w:color="auto"/>
            </w:tcBorders>
            <w:shd w:val="clear" w:color="auto" w:fill="auto"/>
            <w:noWrap/>
            <w:vAlign w:val="bottom"/>
            <w:hideMark/>
          </w:tcPr>
          <w:p w14:paraId="6F532731"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6413880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5C563D4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737A74C2"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0256CA73" w14:textId="77777777" w:rsidTr="00B77A7A">
        <w:trPr>
          <w:trHeight w:val="320"/>
        </w:trPr>
        <w:tc>
          <w:tcPr>
            <w:tcW w:w="9252" w:type="dxa"/>
            <w:gridSpan w:val="5"/>
            <w:tcBorders>
              <w:top w:val="single" w:sz="4" w:space="0" w:color="auto"/>
              <w:left w:val="single" w:sz="4" w:space="0" w:color="auto"/>
              <w:bottom w:val="single" w:sz="4" w:space="0" w:color="auto"/>
              <w:right w:val="single" w:sz="4" w:space="0" w:color="000000"/>
            </w:tcBorders>
            <w:shd w:val="clear" w:color="000000" w:fill="A6C9EC"/>
            <w:noWrap/>
            <w:vAlign w:val="bottom"/>
            <w:hideMark/>
          </w:tcPr>
          <w:p w14:paraId="53E7E55C" w14:textId="77777777" w:rsidR="00F545DB" w:rsidRPr="00F545DB" w:rsidRDefault="00F545DB" w:rsidP="00F545DB">
            <w:pPr>
              <w:spacing w:line="240" w:lineRule="auto"/>
              <w:jc w:val="center"/>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Th2 Biomarkers:</w:t>
            </w:r>
          </w:p>
        </w:tc>
      </w:tr>
      <w:tr w:rsidR="00F545DB" w:rsidRPr="00F545DB" w14:paraId="16790CCF" w14:textId="77777777" w:rsidTr="00B77A7A">
        <w:trPr>
          <w:trHeight w:val="320"/>
        </w:trPr>
        <w:tc>
          <w:tcPr>
            <w:tcW w:w="1246" w:type="dxa"/>
            <w:tcBorders>
              <w:top w:val="nil"/>
              <w:left w:val="single" w:sz="4" w:space="0" w:color="auto"/>
              <w:bottom w:val="single" w:sz="4" w:space="0" w:color="auto"/>
              <w:right w:val="single" w:sz="4" w:space="0" w:color="auto"/>
            </w:tcBorders>
            <w:shd w:val="clear" w:color="000000" w:fill="DAE9F8"/>
            <w:noWrap/>
            <w:vAlign w:val="bottom"/>
            <w:hideMark/>
          </w:tcPr>
          <w:p w14:paraId="56A150F4"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lastRenderedPageBreak/>
              <w:t>Biomarker</w:t>
            </w:r>
          </w:p>
        </w:tc>
        <w:tc>
          <w:tcPr>
            <w:tcW w:w="1795" w:type="dxa"/>
            <w:tcBorders>
              <w:top w:val="nil"/>
              <w:left w:val="nil"/>
              <w:bottom w:val="single" w:sz="4" w:space="0" w:color="auto"/>
              <w:right w:val="single" w:sz="4" w:space="0" w:color="auto"/>
            </w:tcBorders>
            <w:shd w:val="clear" w:color="000000" w:fill="DAE9F8"/>
            <w:noWrap/>
            <w:vAlign w:val="bottom"/>
            <w:hideMark/>
          </w:tcPr>
          <w:p w14:paraId="05AB7CCF"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Study</w:t>
            </w:r>
          </w:p>
        </w:tc>
        <w:tc>
          <w:tcPr>
            <w:tcW w:w="1968" w:type="dxa"/>
            <w:tcBorders>
              <w:top w:val="nil"/>
              <w:left w:val="nil"/>
              <w:bottom w:val="single" w:sz="4" w:space="0" w:color="auto"/>
              <w:right w:val="single" w:sz="4" w:space="0" w:color="auto"/>
            </w:tcBorders>
            <w:shd w:val="clear" w:color="000000" w:fill="DAE9F8"/>
            <w:noWrap/>
            <w:vAlign w:val="bottom"/>
            <w:hideMark/>
          </w:tcPr>
          <w:p w14:paraId="1EDFC55A"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Overall association</w:t>
            </w:r>
          </w:p>
        </w:tc>
        <w:tc>
          <w:tcPr>
            <w:tcW w:w="2499" w:type="dxa"/>
            <w:tcBorders>
              <w:top w:val="nil"/>
              <w:left w:val="nil"/>
              <w:bottom w:val="single" w:sz="4" w:space="0" w:color="auto"/>
              <w:right w:val="single" w:sz="4" w:space="0" w:color="auto"/>
            </w:tcBorders>
            <w:shd w:val="clear" w:color="000000" w:fill="DAE9F8"/>
            <w:noWrap/>
            <w:vAlign w:val="bottom"/>
            <w:hideMark/>
          </w:tcPr>
          <w:p w14:paraId="09A2D15C"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 type, medium</w:t>
            </w:r>
          </w:p>
        </w:tc>
        <w:tc>
          <w:tcPr>
            <w:tcW w:w="1744" w:type="dxa"/>
            <w:tcBorders>
              <w:top w:val="nil"/>
              <w:left w:val="nil"/>
              <w:bottom w:val="single" w:sz="4" w:space="0" w:color="auto"/>
              <w:right w:val="single" w:sz="4" w:space="0" w:color="auto"/>
            </w:tcBorders>
            <w:shd w:val="clear" w:color="000000" w:fill="DAE9F8"/>
            <w:noWrap/>
            <w:vAlign w:val="bottom"/>
            <w:hideMark/>
          </w:tcPr>
          <w:p w14:paraId="46466AB9"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Rosacea subtype</w:t>
            </w:r>
          </w:p>
        </w:tc>
      </w:tr>
      <w:tr w:rsidR="00F545DB" w:rsidRPr="00F545DB" w14:paraId="5B11456D"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3CED0D42"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IL-13</w:t>
            </w:r>
          </w:p>
        </w:tc>
        <w:tc>
          <w:tcPr>
            <w:tcW w:w="1795" w:type="dxa"/>
            <w:tcBorders>
              <w:top w:val="nil"/>
              <w:left w:val="nil"/>
              <w:bottom w:val="single" w:sz="4" w:space="0" w:color="auto"/>
              <w:right w:val="single" w:sz="4" w:space="0" w:color="auto"/>
            </w:tcBorders>
            <w:shd w:val="clear" w:color="auto" w:fill="auto"/>
            <w:noWrap/>
            <w:vAlign w:val="bottom"/>
            <w:hideMark/>
          </w:tcPr>
          <w:p w14:paraId="6D226F52"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Harden, 202116</w:t>
            </w:r>
          </w:p>
        </w:tc>
        <w:tc>
          <w:tcPr>
            <w:tcW w:w="1968" w:type="dxa"/>
            <w:tcBorders>
              <w:top w:val="nil"/>
              <w:left w:val="nil"/>
              <w:bottom w:val="single" w:sz="4" w:space="0" w:color="auto"/>
              <w:right w:val="single" w:sz="4" w:space="0" w:color="auto"/>
            </w:tcBorders>
            <w:shd w:val="clear" w:color="auto" w:fill="auto"/>
            <w:noWrap/>
            <w:vAlign w:val="bottom"/>
            <w:hideMark/>
          </w:tcPr>
          <w:p w14:paraId="5D158E87"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1F09C6E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5520816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PP</w:t>
            </w:r>
          </w:p>
        </w:tc>
      </w:tr>
      <w:tr w:rsidR="00F545DB" w:rsidRPr="00F545DB" w14:paraId="799A84D0"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40A14DD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IL-31</w:t>
            </w:r>
          </w:p>
        </w:tc>
        <w:tc>
          <w:tcPr>
            <w:tcW w:w="1795" w:type="dxa"/>
            <w:tcBorders>
              <w:top w:val="nil"/>
              <w:left w:val="nil"/>
              <w:bottom w:val="single" w:sz="4" w:space="0" w:color="auto"/>
              <w:right w:val="single" w:sz="4" w:space="0" w:color="auto"/>
            </w:tcBorders>
            <w:shd w:val="clear" w:color="auto" w:fill="auto"/>
            <w:noWrap/>
            <w:vAlign w:val="bottom"/>
            <w:hideMark/>
          </w:tcPr>
          <w:p w14:paraId="07346337"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Suhng</w:t>
            </w:r>
            <w:proofErr w:type="spellEnd"/>
            <w:r w:rsidRPr="00F545DB">
              <w:rPr>
                <w:rFonts w:ascii="Aptos Narrow" w:eastAsia="Times New Roman" w:hAnsi="Aptos Narrow" w:cs="Times New Roman"/>
                <w:color w:val="000000"/>
                <w:sz w:val="24"/>
                <w:szCs w:val="24"/>
                <w:lang w:val="en-US" w:eastAsia="en-US"/>
              </w:rPr>
              <w:t>, 201826</w:t>
            </w:r>
          </w:p>
        </w:tc>
        <w:tc>
          <w:tcPr>
            <w:tcW w:w="1968" w:type="dxa"/>
            <w:tcBorders>
              <w:top w:val="nil"/>
              <w:left w:val="nil"/>
              <w:bottom w:val="single" w:sz="4" w:space="0" w:color="auto"/>
              <w:right w:val="single" w:sz="4" w:space="0" w:color="auto"/>
            </w:tcBorders>
            <w:shd w:val="clear" w:color="auto" w:fill="auto"/>
            <w:noWrap/>
            <w:vAlign w:val="bottom"/>
            <w:hideMark/>
          </w:tcPr>
          <w:p w14:paraId="7FCEDF3D"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3E571215"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2D5D914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G, PP</w:t>
            </w:r>
          </w:p>
        </w:tc>
      </w:tr>
      <w:tr w:rsidR="00F545DB" w:rsidRPr="00F545DB" w14:paraId="114F401C" w14:textId="77777777" w:rsidTr="00B77A7A">
        <w:trPr>
          <w:trHeight w:val="320"/>
        </w:trPr>
        <w:tc>
          <w:tcPr>
            <w:tcW w:w="9252" w:type="dxa"/>
            <w:gridSpan w:val="5"/>
            <w:tcBorders>
              <w:top w:val="single" w:sz="4" w:space="0" w:color="auto"/>
              <w:left w:val="single" w:sz="4" w:space="0" w:color="auto"/>
              <w:bottom w:val="single" w:sz="4" w:space="0" w:color="auto"/>
              <w:right w:val="single" w:sz="4" w:space="0" w:color="000000"/>
            </w:tcBorders>
            <w:shd w:val="clear" w:color="000000" w:fill="A6C9EC"/>
            <w:noWrap/>
            <w:vAlign w:val="bottom"/>
            <w:hideMark/>
          </w:tcPr>
          <w:p w14:paraId="37E618B9" w14:textId="77777777" w:rsidR="00F545DB" w:rsidRPr="00F545DB" w:rsidRDefault="00F545DB" w:rsidP="00F545DB">
            <w:pPr>
              <w:spacing w:line="240" w:lineRule="auto"/>
              <w:jc w:val="center"/>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Th17 Biomarkers:</w:t>
            </w:r>
          </w:p>
        </w:tc>
      </w:tr>
      <w:tr w:rsidR="00F545DB" w:rsidRPr="00F545DB" w14:paraId="24F185DE" w14:textId="77777777" w:rsidTr="00B77A7A">
        <w:trPr>
          <w:trHeight w:val="320"/>
        </w:trPr>
        <w:tc>
          <w:tcPr>
            <w:tcW w:w="1246" w:type="dxa"/>
            <w:tcBorders>
              <w:top w:val="nil"/>
              <w:left w:val="single" w:sz="4" w:space="0" w:color="auto"/>
              <w:bottom w:val="single" w:sz="4" w:space="0" w:color="auto"/>
              <w:right w:val="single" w:sz="4" w:space="0" w:color="auto"/>
            </w:tcBorders>
            <w:shd w:val="clear" w:color="000000" w:fill="DAE9F8"/>
            <w:noWrap/>
            <w:vAlign w:val="bottom"/>
            <w:hideMark/>
          </w:tcPr>
          <w:p w14:paraId="285B2FEA"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w:t>
            </w:r>
          </w:p>
        </w:tc>
        <w:tc>
          <w:tcPr>
            <w:tcW w:w="1795" w:type="dxa"/>
            <w:tcBorders>
              <w:top w:val="nil"/>
              <w:left w:val="nil"/>
              <w:bottom w:val="single" w:sz="4" w:space="0" w:color="auto"/>
              <w:right w:val="single" w:sz="4" w:space="0" w:color="auto"/>
            </w:tcBorders>
            <w:shd w:val="clear" w:color="000000" w:fill="DAE9F8"/>
            <w:noWrap/>
            <w:vAlign w:val="bottom"/>
            <w:hideMark/>
          </w:tcPr>
          <w:p w14:paraId="4D49F142"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Study</w:t>
            </w:r>
          </w:p>
        </w:tc>
        <w:tc>
          <w:tcPr>
            <w:tcW w:w="1968" w:type="dxa"/>
            <w:tcBorders>
              <w:top w:val="nil"/>
              <w:left w:val="nil"/>
              <w:bottom w:val="single" w:sz="4" w:space="0" w:color="auto"/>
              <w:right w:val="single" w:sz="4" w:space="0" w:color="auto"/>
            </w:tcBorders>
            <w:shd w:val="clear" w:color="000000" w:fill="DAE9F8"/>
            <w:noWrap/>
            <w:vAlign w:val="bottom"/>
            <w:hideMark/>
          </w:tcPr>
          <w:p w14:paraId="28B9553B"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Overall association</w:t>
            </w:r>
          </w:p>
        </w:tc>
        <w:tc>
          <w:tcPr>
            <w:tcW w:w="2499" w:type="dxa"/>
            <w:tcBorders>
              <w:top w:val="nil"/>
              <w:left w:val="nil"/>
              <w:bottom w:val="single" w:sz="4" w:space="0" w:color="auto"/>
              <w:right w:val="single" w:sz="4" w:space="0" w:color="auto"/>
            </w:tcBorders>
            <w:shd w:val="clear" w:color="000000" w:fill="DAE9F8"/>
            <w:noWrap/>
            <w:vAlign w:val="bottom"/>
            <w:hideMark/>
          </w:tcPr>
          <w:p w14:paraId="6907939F"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 type, medium</w:t>
            </w:r>
          </w:p>
        </w:tc>
        <w:tc>
          <w:tcPr>
            <w:tcW w:w="1744" w:type="dxa"/>
            <w:tcBorders>
              <w:top w:val="nil"/>
              <w:left w:val="nil"/>
              <w:bottom w:val="single" w:sz="4" w:space="0" w:color="auto"/>
              <w:right w:val="single" w:sz="4" w:space="0" w:color="auto"/>
            </w:tcBorders>
            <w:shd w:val="clear" w:color="000000" w:fill="DAE9F8"/>
            <w:noWrap/>
            <w:vAlign w:val="bottom"/>
            <w:hideMark/>
          </w:tcPr>
          <w:p w14:paraId="62B716C6"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Rosacea subtype</w:t>
            </w:r>
          </w:p>
        </w:tc>
      </w:tr>
      <w:tr w:rsidR="00F545DB" w:rsidRPr="00F545DB" w14:paraId="6A19DAAE"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60A96A9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CCL20</w:t>
            </w:r>
          </w:p>
        </w:tc>
        <w:tc>
          <w:tcPr>
            <w:tcW w:w="1795" w:type="dxa"/>
            <w:tcBorders>
              <w:top w:val="nil"/>
              <w:left w:val="nil"/>
              <w:bottom w:val="single" w:sz="4" w:space="0" w:color="auto"/>
              <w:right w:val="single" w:sz="4" w:space="0" w:color="auto"/>
            </w:tcBorders>
            <w:shd w:val="clear" w:color="auto" w:fill="auto"/>
            <w:noWrap/>
            <w:vAlign w:val="bottom"/>
            <w:hideMark/>
          </w:tcPr>
          <w:p w14:paraId="5E6C087D"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Harden, 202116</w:t>
            </w:r>
          </w:p>
        </w:tc>
        <w:tc>
          <w:tcPr>
            <w:tcW w:w="1968" w:type="dxa"/>
            <w:tcBorders>
              <w:top w:val="nil"/>
              <w:left w:val="nil"/>
              <w:bottom w:val="single" w:sz="4" w:space="0" w:color="auto"/>
              <w:right w:val="single" w:sz="4" w:space="0" w:color="auto"/>
            </w:tcBorders>
            <w:shd w:val="clear" w:color="auto" w:fill="auto"/>
            <w:noWrap/>
            <w:vAlign w:val="bottom"/>
            <w:hideMark/>
          </w:tcPr>
          <w:p w14:paraId="718E7C1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023CB3D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6DCCEFD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PP</w:t>
            </w:r>
          </w:p>
        </w:tc>
      </w:tr>
      <w:tr w:rsidR="00F545DB" w:rsidRPr="00F545DB" w14:paraId="083A2818"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7CE7323A"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IL-17A</w:t>
            </w:r>
          </w:p>
        </w:tc>
        <w:tc>
          <w:tcPr>
            <w:tcW w:w="1795" w:type="dxa"/>
            <w:tcBorders>
              <w:top w:val="nil"/>
              <w:left w:val="nil"/>
              <w:bottom w:val="single" w:sz="4" w:space="0" w:color="auto"/>
              <w:right w:val="single" w:sz="4" w:space="0" w:color="auto"/>
            </w:tcBorders>
            <w:shd w:val="clear" w:color="auto" w:fill="auto"/>
            <w:noWrap/>
            <w:vAlign w:val="bottom"/>
            <w:hideMark/>
          </w:tcPr>
          <w:p w14:paraId="4C7EE64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Dajnoki</w:t>
            </w:r>
            <w:proofErr w:type="spellEnd"/>
            <w:r w:rsidRPr="00F545DB">
              <w:rPr>
                <w:rFonts w:ascii="Aptos Narrow" w:eastAsia="Times New Roman" w:hAnsi="Aptos Narrow" w:cs="Times New Roman"/>
                <w:color w:val="000000"/>
                <w:sz w:val="24"/>
                <w:szCs w:val="24"/>
                <w:lang w:val="en-US" w:eastAsia="en-US"/>
              </w:rPr>
              <w:t>, 201715</w:t>
            </w:r>
          </w:p>
        </w:tc>
        <w:tc>
          <w:tcPr>
            <w:tcW w:w="1968" w:type="dxa"/>
            <w:tcBorders>
              <w:top w:val="nil"/>
              <w:left w:val="nil"/>
              <w:bottom w:val="single" w:sz="4" w:space="0" w:color="auto"/>
              <w:right w:val="single" w:sz="4" w:space="0" w:color="auto"/>
            </w:tcBorders>
            <w:shd w:val="clear" w:color="auto" w:fill="auto"/>
            <w:noWrap/>
            <w:vAlign w:val="bottom"/>
            <w:hideMark/>
          </w:tcPr>
          <w:p w14:paraId="3B556B17"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56FA32C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w:t>
            </w:r>
            <w:proofErr w:type="spellStart"/>
            <w:r w:rsidRPr="00F545DB">
              <w:rPr>
                <w:rFonts w:ascii="Aptos Narrow" w:eastAsia="Times New Roman" w:hAnsi="Aptos Narrow" w:cs="Times New Roman"/>
                <w:color w:val="000000"/>
                <w:sz w:val="24"/>
                <w:szCs w:val="24"/>
                <w:lang w:val="en-US" w:eastAsia="en-US"/>
              </w:rPr>
              <w:t>ve</w:t>
            </w:r>
            <w:proofErr w:type="spellEnd"/>
            <w:r w:rsidRPr="00F545DB">
              <w:rPr>
                <w:rFonts w:ascii="Aptos Narrow" w:eastAsia="Times New Roman" w:hAnsi="Aptos Narrow" w:cs="Times New Roman"/>
                <w:color w:val="000000"/>
                <w:sz w:val="24"/>
                <w:szCs w:val="24"/>
                <w:lang w:val="en-US" w:eastAsia="en-US"/>
              </w:rPr>
              <w:t xml:space="preserve"> cell, Skin</w:t>
            </w:r>
          </w:p>
        </w:tc>
        <w:tc>
          <w:tcPr>
            <w:tcW w:w="1744" w:type="dxa"/>
            <w:tcBorders>
              <w:top w:val="nil"/>
              <w:left w:val="nil"/>
              <w:bottom w:val="single" w:sz="4" w:space="0" w:color="auto"/>
              <w:right w:val="single" w:sz="4" w:space="0" w:color="auto"/>
            </w:tcBorders>
            <w:shd w:val="clear" w:color="auto" w:fill="auto"/>
            <w:noWrap/>
            <w:vAlign w:val="bottom"/>
            <w:hideMark/>
          </w:tcPr>
          <w:p w14:paraId="577A41C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PP</w:t>
            </w:r>
          </w:p>
        </w:tc>
      </w:tr>
      <w:tr w:rsidR="00F545DB" w:rsidRPr="00F545DB" w14:paraId="64DAC873"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3A20C80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IL-17A</w:t>
            </w:r>
          </w:p>
        </w:tc>
        <w:tc>
          <w:tcPr>
            <w:tcW w:w="1795" w:type="dxa"/>
            <w:tcBorders>
              <w:top w:val="nil"/>
              <w:left w:val="nil"/>
              <w:bottom w:val="single" w:sz="4" w:space="0" w:color="auto"/>
              <w:right w:val="single" w:sz="4" w:space="0" w:color="auto"/>
            </w:tcBorders>
            <w:shd w:val="clear" w:color="auto" w:fill="auto"/>
            <w:noWrap/>
            <w:vAlign w:val="bottom"/>
            <w:hideMark/>
          </w:tcPr>
          <w:p w14:paraId="16A7A8CA"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Dajnoki</w:t>
            </w:r>
            <w:proofErr w:type="spellEnd"/>
            <w:r w:rsidRPr="00F545DB">
              <w:rPr>
                <w:rFonts w:ascii="Aptos Narrow" w:eastAsia="Times New Roman" w:hAnsi="Aptos Narrow" w:cs="Times New Roman"/>
                <w:color w:val="000000"/>
                <w:sz w:val="24"/>
                <w:szCs w:val="24"/>
                <w:lang w:val="en-US" w:eastAsia="en-US"/>
              </w:rPr>
              <w:t>, 201715</w:t>
            </w:r>
          </w:p>
        </w:tc>
        <w:tc>
          <w:tcPr>
            <w:tcW w:w="1968" w:type="dxa"/>
            <w:tcBorders>
              <w:top w:val="nil"/>
              <w:left w:val="nil"/>
              <w:bottom w:val="single" w:sz="4" w:space="0" w:color="auto"/>
              <w:right w:val="single" w:sz="4" w:space="0" w:color="auto"/>
            </w:tcBorders>
            <w:shd w:val="clear" w:color="auto" w:fill="auto"/>
            <w:noWrap/>
            <w:vAlign w:val="bottom"/>
            <w:hideMark/>
          </w:tcPr>
          <w:p w14:paraId="39030FD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4583AFB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mRNA, Skin</w:t>
            </w:r>
          </w:p>
        </w:tc>
        <w:tc>
          <w:tcPr>
            <w:tcW w:w="1744" w:type="dxa"/>
            <w:tcBorders>
              <w:top w:val="nil"/>
              <w:left w:val="nil"/>
              <w:bottom w:val="single" w:sz="4" w:space="0" w:color="auto"/>
              <w:right w:val="single" w:sz="4" w:space="0" w:color="auto"/>
            </w:tcBorders>
            <w:shd w:val="clear" w:color="auto" w:fill="auto"/>
            <w:noWrap/>
            <w:vAlign w:val="bottom"/>
            <w:hideMark/>
          </w:tcPr>
          <w:p w14:paraId="67F95FBD"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PP</w:t>
            </w:r>
          </w:p>
        </w:tc>
      </w:tr>
      <w:tr w:rsidR="00F545DB" w:rsidRPr="00F545DB" w14:paraId="7B441F2D"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3848C81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IL-1β</w:t>
            </w:r>
          </w:p>
        </w:tc>
        <w:tc>
          <w:tcPr>
            <w:tcW w:w="1795" w:type="dxa"/>
            <w:tcBorders>
              <w:top w:val="nil"/>
              <w:left w:val="nil"/>
              <w:bottom w:val="single" w:sz="4" w:space="0" w:color="auto"/>
              <w:right w:val="single" w:sz="4" w:space="0" w:color="auto"/>
            </w:tcBorders>
            <w:shd w:val="clear" w:color="auto" w:fill="auto"/>
            <w:noWrap/>
            <w:vAlign w:val="bottom"/>
            <w:hideMark/>
          </w:tcPr>
          <w:p w14:paraId="5B3195F7"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1852FCA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42B23C1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4AB7765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1B2BB541"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7F6D024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IL-17A</w:t>
            </w:r>
          </w:p>
        </w:tc>
        <w:tc>
          <w:tcPr>
            <w:tcW w:w="1795" w:type="dxa"/>
            <w:tcBorders>
              <w:top w:val="nil"/>
              <w:left w:val="nil"/>
              <w:bottom w:val="single" w:sz="4" w:space="0" w:color="auto"/>
              <w:right w:val="single" w:sz="4" w:space="0" w:color="auto"/>
            </w:tcBorders>
            <w:shd w:val="clear" w:color="auto" w:fill="auto"/>
            <w:noWrap/>
            <w:vAlign w:val="bottom"/>
            <w:hideMark/>
          </w:tcPr>
          <w:p w14:paraId="13FE0EA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Hayran</w:t>
            </w:r>
            <w:proofErr w:type="spellEnd"/>
            <w:r w:rsidRPr="00F545DB">
              <w:rPr>
                <w:rFonts w:ascii="Aptos Narrow" w:eastAsia="Times New Roman" w:hAnsi="Aptos Narrow" w:cs="Times New Roman"/>
                <w:color w:val="000000"/>
                <w:sz w:val="24"/>
                <w:szCs w:val="24"/>
                <w:lang w:val="en-US" w:eastAsia="en-US"/>
              </w:rPr>
              <w:t>, 202227</w:t>
            </w:r>
          </w:p>
        </w:tc>
        <w:tc>
          <w:tcPr>
            <w:tcW w:w="1968" w:type="dxa"/>
            <w:tcBorders>
              <w:top w:val="nil"/>
              <w:left w:val="nil"/>
              <w:bottom w:val="single" w:sz="4" w:space="0" w:color="auto"/>
              <w:right w:val="single" w:sz="4" w:space="0" w:color="auto"/>
            </w:tcBorders>
            <w:shd w:val="clear" w:color="auto" w:fill="auto"/>
            <w:noWrap/>
            <w:vAlign w:val="bottom"/>
            <w:hideMark/>
          </w:tcPr>
          <w:p w14:paraId="1485E07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6EFFD724"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Serum</w:t>
            </w:r>
          </w:p>
        </w:tc>
        <w:tc>
          <w:tcPr>
            <w:tcW w:w="1744" w:type="dxa"/>
            <w:tcBorders>
              <w:top w:val="nil"/>
              <w:left w:val="nil"/>
              <w:bottom w:val="single" w:sz="4" w:space="0" w:color="auto"/>
              <w:right w:val="single" w:sz="4" w:space="0" w:color="auto"/>
            </w:tcBorders>
            <w:shd w:val="clear" w:color="auto" w:fill="auto"/>
            <w:noWrap/>
            <w:vAlign w:val="bottom"/>
            <w:hideMark/>
          </w:tcPr>
          <w:p w14:paraId="67ED719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6D39FF27" w14:textId="77777777" w:rsidTr="00B77A7A">
        <w:trPr>
          <w:trHeight w:val="320"/>
        </w:trPr>
        <w:tc>
          <w:tcPr>
            <w:tcW w:w="9252" w:type="dxa"/>
            <w:gridSpan w:val="5"/>
            <w:tcBorders>
              <w:top w:val="single" w:sz="4" w:space="0" w:color="auto"/>
              <w:left w:val="single" w:sz="4" w:space="0" w:color="auto"/>
              <w:bottom w:val="single" w:sz="4" w:space="0" w:color="auto"/>
              <w:right w:val="single" w:sz="4" w:space="0" w:color="000000"/>
            </w:tcBorders>
            <w:shd w:val="clear" w:color="000000" w:fill="A6C9EC"/>
            <w:noWrap/>
            <w:vAlign w:val="bottom"/>
            <w:hideMark/>
          </w:tcPr>
          <w:p w14:paraId="76D53AB4" w14:textId="11558C89" w:rsidR="00F545DB" w:rsidRPr="00F545DB" w:rsidRDefault="00F545DB" w:rsidP="00F545DB">
            <w:pPr>
              <w:spacing w:line="240" w:lineRule="auto"/>
              <w:jc w:val="center"/>
              <w:rPr>
                <w:rFonts w:ascii="Aptos Narrow" w:eastAsia="Times New Roman" w:hAnsi="Aptos Narrow" w:cs="Times New Roman"/>
                <w:b/>
                <w:bCs/>
                <w:color w:val="000000"/>
                <w:sz w:val="24"/>
                <w:szCs w:val="24"/>
                <w:lang w:val="en-US" w:eastAsia="en-US"/>
              </w:rPr>
            </w:pPr>
            <w:r>
              <w:rPr>
                <w:rFonts w:ascii="Aptos Narrow" w:eastAsia="Times New Roman" w:hAnsi="Aptos Narrow" w:cs="Times New Roman"/>
                <w:b/>
                <w:bCs/>
                <w:color w:val="000000"/>
                <w:sz w:val="24"/>
                <w:szCs w:val="24"/>
                <w:lang w:val="en-US" w:eastAsia="en-US"/>
              </w:rPr>
              <w:t xml:space="preserve">Other </w:t>
            </w:r>
            <w:r w:rsidRPr="00F545DB">
              <w:rPr>
                <w:rFonts w:ascii="Aptos Narrow" w:eastAsia="Times New Roman" w:hAnsi="Aptos Narrow" w:cs="Times New Roman"/>
                <w:b/>
                <w:bCs/>
                <w:color w:val="000000"/>
                <w:sz w:val="24"/>
                <w:szCs w:val="24"/>
                <w:lang w:val="en-US" w:eastAsia="en-US"/>
              </w:rPr>
              <w:t>Innate Immune System Biomarkers:</w:t>
            </w:r>
          </w:p>
        </w:tc>
      </w:tr>
      <w:tr w:rsidR="00F545DB" w:rsidRPr="00F545DB" w14:paraId="25742ABA" w14:textId="77777777" w:rsidTr="00B77A7A">
        <w:trPr>
          <w:trHeight w:val="320"/>
        </w:trPr>
        <w:tc>
          <w:tcPr>
            <w:tcW w:w="1246" w:type="dxa"/>
            <w:tcBorders>
              <w:top w:val="nil"/>
              <w:left w:val="single" w:sz="4" w:space="0" w:color="auto"/>
              <w:bottom w:val="single" w:sz="4" w:space="0" w:color="auto"/>
              <w:right w:val="single" w:sz="4" w:space="0" w:color="auto"/>
            </w:tcBorders>
            <w:shd w:val="clear" w:color="000000" w:fill="DAE9F8"/>
            <w:noWrap/>
            <w:vAlign w:val="bottom"/>
            <w:hideMark/>
          </w:tcPr>
          <w:p w14:paraId="64FE6D6F"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w:t>
            </w:r>
          </w:p>
        </w:tc>
        <w:tc>
          <w:tcPr>
            <w:tcW w:w="1795" w:type="dxa"/>
            <w:tcBorders>
              <w:top w:val="nil"/>
              <w:left w:val="nil"/>
              <w:bottom w:val="single" w:sz="4" w:space="0" w:color="auto"/>
              <w:right w:val="single" w:sz="4" w:space="0" w:color="auto"/>
            </w:tcBorders>
            <w:shd w:val="clear" w:color="000000" w:fill="DAE9F8"/>
            <w:noWrap/>
            <w:vAlign w:val="bottom"/>
            <w:hideMark/>
          </w:tcPr>
          <w:p w14:paraId="0FB91551"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Study</w:t>
            </w:r>
          </w:p>
        </w:tc>
        <w:tc>
          <w:tcPr>
            <w:tcW w:w="1968" w:type="dxa"/>
            <w:tcBorders>
              <w:top w:val="nil"/>
              <w:left w:val="nil"/>
              <w:bottom w:val="single" w:sz="4" w:space="0" w:color="auto"/>
              <w:right w:val="single" w:sz="4" w:space="0" w:color="auto"/>
            </w:tcBorders>
            <w:shd w:val="clear" w:color="000000" w:fill="DAE9F8"/>
            <w:noWrap/>
            <w:vAlign w:val="bottom"/>
            <w:hideMark/>
          </w:tcPr>
          <w:p w14:paraId="4A737DAC"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Overall association</w:t>
            </w:r>
          </w:p>
        </w:tc>
        <w:tc>
          <w:tcPr>
            <w:tcW w:w="2499" w:type="dxa"/>
            <w:tcBorders>
              <w:top w:val="nil"/>
              <w:left w:val="nil"/>
              <w:bottom w:val="single" w:sz="4" w:space="0" w:color="auto"/>
              <w:right w:val="single" w:sz="4" w:space="0" w:color="auto"/>
            </w:tcBorders>
            <w:shd w:val="clear" w:color="000000" w:fill="DAE9F8"/>
            <w:noWrap/>
            <w:vAlign w:val="bottom"/>
            <w:hideMark/>
          </w:tcPr>
          <w:p w14:paraId="4BA900A2"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Biomarker type, medium</w:t>
            </w:r>
          </w:p>
        </w:tc>
        <w:tc>
          <w:tcPr>
            <w:tcW w:w="1744" w:type="dxa"/>
            <w:tcBorders>
              <w:top w:val="nil"/>
              <w:left w:val="nil"/>
              <w:bottom w:val="single" w:sz="4" w:space="0" w:color="auto"/>
              <w:right w:val="single" w:sz="4" w:space="0" w:color="auto"/>
            </w:tcBorders>
            <w:shd w:val="clear" w:color="000000" w:fill="DAE9F8"/>
            <w:noWrap/>
            <w:vAlign w:val="bottom"/>
            <w:hideMark/>
          </w:tcPr>
          <w:p w14:paraId="2D8A15D4" w14:textId="77777777" w:rsidR="00F545DB" w:rsidRPr="00F545DB" w:rsidRDefault="00F545DB" w:rsidP="00F545DB">
            <w:pPr>
              <w:spacing w:line="240" w:lineRule="auto"/>
              <w:rPr>
                <w:rFonts w:ascii="Aptos Narrow" w:eastAsia="Times New Roman" w:hAnsi="Aptos Narrow" w:cs="Times New Roman"/>
                <w:b/>
                <w:bCs/>
                <w:color w:val="000000"/>
                <w:sz w:val="24"/>
                <w:szCs w:val="24"/>
                <w:lang w:val="en-US" w:eastAsia="en-US"/>
              </w:rPr>
            </w:pPr>
            <w:r w:rsidRPr="00F545DB">
              <w:rPr>
                <w:rFonts w:ascii="Aptos Narrow" w:eastAsia="Times New Roman" w:hAnsi="Aptos Narrow" w:cs="Times New Roman"/>
                <w:b/>
                <w:bCs/>
                <w:color w:val="000000"/>
                <w:sz w:val="24"/>
                <w:szCs w:val="24"/>
                <w:lang w:val="en-US" w:eastAsia="en-US"/>
              </w:rPr>
              <w:t>Rosacea subtype</w:t>
            </w:r>
          </w:p>
        </w:tc>
      </w:tr>
      <w:tr w:rsidR="00F545DB" w:rsidRPr="00F545DB" w14:paraId="6AB95193"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7497EAB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LL-37</w:t>
            </w:r>
          </w:p>
        </w:tc>
        <w:tc>
          <w:tcPr>
            <w:tcW w:w="1795" w:type="dxa"/>
            <w:tcBorders>
              <w:top w:val="nil"/>
              <w:left w:val="nil"/>
              <w:bottom w:val="single" w:sz="4" w:space="0" w:color="auto"/>
              <w:right w:val="single" w:sz="4" w:space="0" w:color="auto"/>
            </w:tcBorders>
            <w:shd w:val="clear" w:color="auto" w:fill="auto"/>
            <w:noWrap/>
            <w:vAlign w:val="bottom"/>
            <w:hideMark/>
          </w:tcPr>
          <w:p w14:paraId="0313B9A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26C639C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1DA32F4F"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185AB408"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090CFAA6"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627B56D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ASC</w:t>
            </w:r>
          </w:p>
        </w:tc>
        <w:tc>
          <w:tcPr>
            <w:tcW w:w="1795" w:type="dxa"/>
            <w:tcBorders>
              <w:top w:val="nil"/>
              <w:left w:val="nil"/>
              <w:bottom w:val="single" w:sz="4" w:space="0" w:color="auto"/>
              <w:right w:val="single" w:sz="4" w:space="0" w:color="auto"/>
            </w:tcBorders>
            <w:shd w:val="clear" w:color="auto" w:fill="auto"/>
            <w:noWrap/>
            <w:vAlign w:val="bottom"/>
            <w:hideMark/>
          </w:tcPr>
          <w:p w14:paraId="30C00353"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514C52F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78183A2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547AE0C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7FDC23CB"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51F85E1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CASP-1</w:t>
            </w:r>
          </w:p>
        </w:tc>
        <w:tc>
          <w:tcPr>
            <w:tcW w:w="1795" w:type="dxa"/>
            <w:tcBorders>
              <w:top w:val="nil"/>
              <w:left w:val="nil"/>
              <w:bottom w:val="single" w:sz="4" w:space="0" w:color="auto"/>
              <w:right w:val="single" w:sz="4" w:space="0" w:color="auto"/>
            </w:tcBorders>
            <w:shd w:val="clear" w:color="auto" w:fill="auto"/>
            <w:noWrap/>
            <w:vAlign w:val="bottom"/>
            <w:hideMark/>
          </w:tcPr>
          <w:p w14:paraId="403D68A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0EE4842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6FAF339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2F5C37F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597D6994"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3B5628D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NLRP-3</w:t>
            </w:r>
          </w:p>
        </w:tc>
        <w:tc>
          <w:tcPr>
            <w:tcW w:w="1795" w:type="dxa"/>
            <w:tcBorders>
              <w:top w:val="nil"/>
              <w:left w:val="nil"/>
              <w:bottom w:val="single" w:sz="4" w:space="0" w:color="auto"/>
              <w:right w:val="single" w:sz="4" w:space="0" w:color="auto"/>
            </w:tcBorders>
            <w:shd w:val="clear" w:color="auto" w:fill="auto"/>
            <w:noWrap/>
            <w:vAlign w:val="bottom"/>
            <w:hideMark/>
          </w:tcPr>
          <w:p w14:paraId="736AABB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5E4B1207"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00FF825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6539123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21CA8E39"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3B4839A5"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CD163</w:t>
            </w:r>
          </w:p>
        </w:tc>
        <w:tc>
          <w:tcPr>
            <w:tcW w:w="1795" w:type="dxa"/>
            <w:tcBorders>
              <w:top w:val="nil"/>
              <w:left w:val="nil"/>
              <w:bottom w:val="single" w:sz="4" w:space="0" w:color="auto"/>
              <w:right w:val="single" w:sz="4" w:space="0" w:color="auto"/>
            </w:tcBorders>
            <w:shd w:val="clear" w:color="auto" w:fill="auto"/>
            <w:noWrap/>
            <w:vAlign w:val="bottom"/>
            <w:hideMark/>
          </w:tcPr>
          <w:p w14:paraId="5CD8317A"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6CEEFA8C"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270EB5E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7A657871"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r w:rsidR="00F545DB" w:rsidRPr="00F545DB" w14:paraId="4DCDDBF5"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72BEEE41"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MMP-9</w:t>
            </w:r>
          </w:p>
        </w:tc>
        <w:tc>
          <w:tcPr>
            <w:tcW w:w="1795" w:type="dxa"/>
            <w:tcBorders>
              <w:top w:val="nil"/>
              <w:left w:val="nil"/>
              <w:bottom w:val="single" w:sz="4" w:space="0" w:color="auto"/>
              <w:right w:val="single" w:sz="4" w:space="0" w:color="auto"/>
            </w:tcBorders>
            <w:shd w:val="clear" w:color="auto" w:fill="auto"/>
            <w:noWrap/>
            <w:vAlign w:val="bottom"/>
            <w:hideMark/>
          </w:tcPr>
          <w:p w14:paraId="21C733BE"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proofErr w:type="spellStart"/>
            <w:r w:rsidRPr="00F545DB">
              <w:rPr>
                <w:rFonts w:ascii="Aptos Narrow" w:eastAsia="Times New Roman" w:hAnsi="Aptos Narrow" w:cs="Times New Roman"/>
                <w:color w:val="000000"/>
                <w:sz w:val="24"/>
                <w:szCs w:val="24"/>
                <w:lang w:val="en-US" w:eastAsia="en-US"/>
              </w:rPr>
              <w:t>Falay</w:t>
            </w:r>
            <w:proofErr w:type="spellEnd"/>
            <w:r w:rsidRPr="00F545DB">
              <w:rPr>
                <w:rFonts w:ascii="Aptos Narrow" w:eastAsia="Times New Roman" w:hAnsi="Aptos Narrow" w:cs="Times New Roman"/>
                <w:color w:val="000000"/>
                <w:sz w:val="24"/>
                <w:szCs w:val="24"/>
                <w:lang w:val="en-US" w:eastAsia="en-US"/>
              </w:rPr>
              <w:t xml:space="preserve"> Gur, 201818</w:t>
            </w:r>
          </w:p>
        </w:tc>
        <w:tc>
          <w:tcPr>
            <w:tcW w:w="1968" w:type="dxa"/>
            <w:tcBorders>
              <w:top w:val="nil"/>
              <w:left w:val="nil"/>
              <w:bottom w:val="single" w:sz="4" w:space="0" w:color="auto"/>
              <w:right w:val="single" w:sz="4" w:space="0" w:color="auto"/>
            </w:tcBorders>
            <w:shd w:val="clear" w:color="auto" w:fill="auto"/>
            <w:noWrap/>
            <w:vAlign w:val="bottom"/>
            <w:hideMark/>
          </w:tcPr>
          <w:p w14:paraId="7218CAB9"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3C261F15"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Serum</w:t>
            </w:r>
          </w:p>
        </w:tc>
        <w:tc>
          <w:tcPr>
            <w:tcW w:w="1744" w:type="dxa"/>
            <w:tcBorders>
              <w:top w:val="nil"/>
              <w:left w:val="nil"/>
              <w:bottom w:val="single" w:sz="4" w:space="0" w:color="auto"/>
              <w:right w:val="single" w:sz="4" w:space="0" w:color="auto"/>
            </w:tcBorders>
            <w:shd w:val="clear" w:color="auto" w:fill="auto"/>
            <w:noWrap/>
            <w:vAlign w:val="bottom"/>
            <w:hideMark/>
          </w:tcPr>
          <w:p w14:paraId="1D83367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 R</w:t>
            </w:r>
          </w:p>
        </w:tc>
      </w:tr>
      <w:tr w:rsidR="00F545DB" w:rsidRPr="00F545DB" w14:paraId="516B95A1"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6D7C269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MMP-9</w:t>
            </w:r>
          </w:p>
        </w:tc>
        <w:tc>
          <w:tcPr>
            <w:tcW w:w="1795" w:type="dxa"/>
            <w:tcBorders>
              <w:top w:val="nil"/>
              <w:left w:val="nil"/>
              <w:bottom w:val="single" w:sz="4" w:space="0" w:color="auto"/>
              <w:right w:val="single" w:sz="4" w:space="0" w:color="auto"/>
            </w:tcBorders>
            <w:shd w:val="clear" w:color="auto" w:fill="auto"/>
            <w:noWrap/>
            <w:vAlign w:val="bottom"/>
            <w:hideMark/>
          </w:tcPr>
          <w:p w14:paraId="4EE1278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Helfrich, 201514</w:t>
            </w:r>
          </w:p>
        </w:tc>
        <w:tc>
          <w:tcPr>
            <w:tcW w:w="1968" w:type="dxa"/>
            <w:tcBorders>
              <w:top w:val="nil"/>
              <w:left w:val="nil"/>
              <w:bottom w:val="single" w:sz="4" w:space="0" w:color="auto"/>
              <w:right w:val="single" w:sz="4" w:space="0" w:color="auto"/>
            </w:tcBorders>
            <w:shd w:val="clear" w:color="auto" w:fill="auto"/>
            <w:noWrap/>
            <w:vAlign w:val="bottom"/>
            <w:hideMark/>
          </w:tcPr>
          <w:p w14:paraId="2EB53FA1"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7A56CD11"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mRNA, Skin</w:t>
            </w:r>
          </w:p>
        </w:tc>
        <w:tc>
          <w:tcPr>
            <w:tcW w:w="1744" w:type="dxa"/>
            <w:tcBorders>
              <w:top w:val="nil"/>
              <w:left w:val="nil"/>
              <w:bottom w:val="single" w:sz="4" w:space="0" w:color="auto"/>
              <w:right w:val="single" w:sz="4" w:space="0" w:color="auto"/>
            </w:tcBorders>
            <w:shd w:val="clear" w:color="auto" w:fill="auto"/>
            <w:noWrap/>
            <w:vAlign w:val="bottom"/>
            <w:hideMark/>
          </w:tcPr>
          <w:p w14:paraId="6F05ED4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w:t>
            </w:r>
          </w:p>
        </w:tc>
      </w:tr>
      <w:tr w:rsidR="00F545DB" w:rsidRPr="00F545DB" w14:paraId="52A17913"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2758123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CXCL5</w:t>
            </w:r>
          </w:p>
        </w:tc>
        <w:tc>
          <w:tcPr>
            <w:tcW w:w="1795" w:type="dxa"/>
            <w:tcBorders>
              <w:top w:val="nil"/>
              <w:left w:val="nil"/>
              <w:bottom w:val="single" w:sz="4" w:space="0" w:color="auto"/>
              <w:right w:val="single" w:sz="4" w:space="0" w:color="auto"/>
            </w:tcBorders>
            <w:shd w:val="clear" w:color="auto" w:fill="auto"/>
            <w:noWrap/>
            <w:vAlign w:val="bottom"/>
            <w:hideMark/>
          </w:tcPr>
          <w:p w14:paraId="78BE86F6"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Harden, 202116</w:t>
            </w:r>
          </w:p>
        </w:tc>
        <w:tc>
          <w:tcPr>
            <w:tcW w:w="1968" w:type="dxa"/>
            <w:tcBorders>
              <w:top w:val="nil"/>
              <w:left w:val="nil"/>
              <w:bottom w:val="single" w:sz="4" w:space="0" w:color="auto"/>
              <w:right w:val="single" w:sz="4" w:space="0" w:color="auto"/>
            </w:tcBorders>
            <w:shd w:val="clear" w:color="auto" w:fill="auto"/>
            <w:noWrap/>
            <w:vAlign w:val="bottom"/>
            <w:hideMark/>
          </w:tcPr>
          <w:p w14:paraId="404C8F2B"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541D2B94"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7E1DA720" w14:textId="77777777" w:rsidR="00F545DB" w:rsidRPr="00F545DB" w:rsidRDefault="00F545DB" w:rsidP="00F545DB">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PP</w:t>
            </w:r>
          </w:p>
        </w:tc>
      </w:tr>
      <w:tr w:rsidR="00B77A7A" w:rsidRPr="00F545DB" w14:paraId="4F1CAA90" w14:textId="77777777" w:rsidTr="00B77A7A">
        <w:trPr>
          <w:trHeight w:val="32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14:paraId="17AEB0E3" w14:textId="32F5A2A3" w:rsidR="00B77A7A" w:rsidRPr="00F545DB" w:rsidRDefault="00B77A7A" w:rsidP="00B77A7A">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MPO</w:t>
            </w:r>
          </w:p>
        </w:tc>
        <w:tc>
          <w:tcPr>
            <w:tcW w:w="1795" w:type="dxa"/>
            <w:tcBorders>
              <w:top w:val="nil"/>
              <w:left w:val="nil"/>
              <w:bottom w:val="single" w:sz="4" w:space="0" w:color="auto"/>
              <w:right w:val="single" w:sz="4" w:space="0" w:color="auto"/>
            </w:tcBorders>
            <w:shd w:val="clear" w:color="auto" w:fill="auto"/>
            <w:noWrap/>
            <w:vAlign w:val="bottom"/>
            <w:hideMark/>
          </w:tcPr>
          <w:p w14:paraId="23C4A5EB" w14:textId="36D6C793" w:rsidR="00B77A7A" w:rsidRPr="00F545DB" w:rsidRDefault="00B77A7A" w:rsidP="00B77A7A">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Casas, 201211</w:t>
            </w:r>
          </w:p>
        </w:tc>
        <w:tc>
          <w:tcPr>
            <w:tcW w:w="1968" w:type="dxa"/>
            <w:tcBorders>
              <w:top w:val="nil"/>
              <w:left w:val="nil"/>
              <w:bottom w:val="single" w:sz="4" w:space="0" w:color="auto"/>
              <w:right w:val="single" w:sz="4" w:space="0" w:color="auto"/>
            </w:tcBorders>
            <w:shd w:val="clear" w:color="auto" w:fill="auto"/>
            <w:noWrap/>
            <w:vAlign w:val="bottom"/>
            <w:hideMark/>
          </w:tcPr>
          <w:p w14:paraId="4A1DFDB7" w14:textId="3956BEFE" w:rsidR="00B77A7A" w:rsidRPr="00F545DB" w:rsidRDefault="00B77A7A" w:rsidP="00B77A7A">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Increase</w:t>
            </w:r>
          </w:p>
        </w:tc>
        <w:tc>
          <w:tcPr>
            <w:tcW w:w="2499" w:type="dxa"/>
            <w:tcBorders>
              <w:top w:val="nil"/>
              <w:left w:val="nil"/>
              <w:bottom w:val="single" w:sz="4" w:space="0" w:color="auto"/>
              <w:right w:val="single" w:sz="4" w:space="0" w:color="auto"/>
            </w:tcBorders>
            <w:shd w:val="clear" w:color="auto" w:fill="auto"/>
            <w:noWrap/>
            <w:vAlign w:val="bottom"/>
            <w:hideMark/>
          </w:tcPr>
          <w:p w14:paraId="7B9B2B0C" w14:textId="5DE98BFB" w:rsidR="00B77A7A" w:rsidRPr="00F545DB" w:rsidRDefault="00B77A7A" w:rsidP="00B77A7A">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Protein, Skin</w:t>
            </w:r>
          </w:p>
        </w:tc>
        <w:tc>
          <w:tcPr>
            <w:tcW w:w="1744" w:type="dxa"/>
            <w:tcBorders>
              <w:top w:val="nil"/>
              <w:left w:val="nil"/>
              <w:bottom w:val="single" w:sz="4" w:space="0" w:color="auto"/>
              <w:right w:val="single" w:sz="4" w:space="0" w:color="auto"/>
            </w:tcBorders>
            <w:shd w:val="clear" w:color="auto" w:fill="auto"/>
            <w:noWrap/>
            <w:vAlign w:val="bottom"/>
            <w:hideMark/>
          </w:tcPr>
          <w:p w14:paraId="0ACF55D6" w14:textId="58070A78" w:rsidR="00B77A7A" w:rsidRPr="00F545DB" w:rsidRDefault="00B77A7A" w:rsidP="00B77A7A">
            <w:pPr>
              <w:spacing w:line="240" w:lineRule="auto"/>
              <w:rPr>
                <w:rFonts w:ascii="Aptos Narrow" w:eastAsia="Times New Roman" w:hAnsi="Aptos Narrow" w:cs="Times New Roman"/>
                <w:color w:val="000000"/>
                <w:sz w:val="24"/>
                <w:szCs w:val="24"/>
                <w:lang w:val="en-US" w:eastAsia="en-US"/>
              </w:rPr>
            </w:pPr>
            <w:r w:rsidRPr="00F545DB">
              <w:rPr>
                <w:rFonts w:ascii="Aptos Narrow" w:eastAsia="Times New Roman" w:hAnsi="Aptos Narrow" w:cs="Times New Roman"/>
                <w:color w:val="000000"/>
                <w:sz w:val="24"/>
                <w:szCs w:val="24"/>
                <w:lang w:val="en-US" w:eastAsia="en-US"/>
              </w:rPr>
              <w:t>ETR, PP</w:t>
            </w:r>
          </w:p>
        </w:tc>
      </w:tr>
    </w:tbl>
    <w:p w14:paraId="3DE772B3" w14:textId="124688BF" w:rsidR="00D01C32" w:rsidRDefault="006411DB" w:rsidP="006411DB">
      <w:pPr>
        <w:spacing w:before="240" w:line="480" w:lineRule="auto"/>
        <w:rPr>
          <w:sz w:val="24"/>
          <w:szCs w:val="24"/>
          <w:lang w:val="en-US"/>
        </w:rPr>
      </w:pPr>
      <w:r w:rsidRPr="006411DB">
        <w:rPr>
          <w:b/>
          <w:bCs/>
          <w:sz w:val="24"/>
          <w:szCs w:val="24"/>
          <w:lang w:val="en-US"/>
        </w:rPr>
        <w:t>Table 1.</w:t>
      </w:r>
      <w:r>
        <w:rPr>
          <w:sz w:val="24"/>
          <w:szCs w:val="24"/>
          <w:lang w:val="en-US"/>
        </w:rPr>
        <w:t xml:space="preserve"> </w:t>
      </w:r>
      <w:r>
        <w:rPr>
          <w:sz w:val="24"/>
          <w:szCs w:val="24"/>
        </w:rPr>
        <w:t>B</w:t>
      </w:r>
      <w:r w:rsidRPr="006411DB">
        <w:rPr>
          <w:sz w:val="24"/>
          <w:szCs w:val="24"/>
        </w:rPr>
        <w:t xml:space="preserve">iomarkers associated with rosacea across its subtypes: </w:t>
      </w:r>
      <w:proofErr w:type="spellStart"/>
      <w:r w:rsidRPr="006411DB">
        <w:rPr>
          <w:sz w:val="24"/>
          <w:szCs w:val="24"/>
        </w:rPr>
        <w:t>erythematotelangiectatic</w:t>
      </w:r>
      <w:proofErr w:type="spellEnd"/>
      <w:r w:rsidRPr="006411DB">
        <w:rPr>
          <w:sz w:val="24"/>
          <w:szCs w:val="24"/>
        </w:rPr>
        <w:t xml:space="preserve"> (ETR), papulopustular (PP), and </w:t>
      </w:r>
      <w:proofErr w:type="spellStart"/>
      <w:r w:rsidRPr="006411DB">
        <w:rPr>
          <w:sz w:val="24"/>
          <w:szCs w:val="24"/>
        </w:rPr>
        <w:t>rhinophymatous</w:t>
      </w:r>
      <w:proofErr w:type="spellEnd"/>
      <w:r w:rsidRPr="006411DB">
        <w:rPr>
          <w:sz w:val="24"/>
          <w:szCs w:val="24"/>
        </w:rPr>
        <w:t xml:space="preserve"> (R).</w:t>
      </w:r>
    </w:p>
    <w:p w14:paraId="0F250FD3" w14:textId="671C25EA" w:rsidR="001554EA" w:rsidRPr="007C4EE8" w:rsidRDefault="00447F27" w:rsidP="007C4EE8">
      <w:pPr>
        <w:spacing w:before="240" w:line="480" w:lineRule="auto"/>
        <w:ind w:firstLine="720"/>
        <w:rPr>
          <w:sz w:val="24"/>
          <w:szCs w:val="24"/>
          <w:lang w:val="en-US"/>
        </w:rPr>
      </w:pPr>
      <w:r w:rsidRPr="007C4EE8">
        <w:rPr>
          <w:sz w:val="24"/>
          <w:szCs w:val="24"/>
          <w:lang w:val="en-US"/>
        </w:rPr>
        <w:t>In skin of color, m</w:t>
      </w:r>
      <w:r w:rsidRPr="007C4EE8">
        <w:rPr>
          <w:sz w:val="24"/>
          <w:szCs w:val="24"/>
          <w:lang w:val="en-US"/>
        </w:rPr>
        <w:t>atrix metalloproteinases (MMPs), specifically MMP-9, have been found to be overexpressed in darker-skinned rosacea patients. This degeneration of dermal collagen and extracellular matrix results in more prominent telangiectasia and erythema (Ravichandran et al., 2018).</w:t>
      </w:r>
      <w:r w:rsidRPr="007C4EE8">
        <w:rPr>
          <w:sz w:val="24"/>
          <w:szCs w:val="24"/>
          <w:lang w:val="en-US"/>
        </w:rPr>
        <w:t xml:space="preserve"> Also represented in higher levels for darker skin tones, </w:t>
      </w:r>
      <w:r w:rsidRPr="007C4EE8">
        <w:rPr>
          <w:sz w:val="24"/>
          <w:szCs w:val="24"/>
          <w:lang w:val="en-US"/>
        </w:rPr>
        <w:t xml:space="preserve">vascular endothelial growth factor (VEGF), which encourages angiogenesis and </w:t>
      </w:r>
      <w:r w:rsidRPr="007C4EE8">
        <w:rPr>
          <w:sz w:val="24"/>
          <w:szCs w:val="24"/>
          <w:lang w:val="en-US"/>
        </w:rPr>
        <w:lastRenderedPageBreak/>
        <w:t>vascular permeability, aggravating the vascular symptoms of rosacea (Crawford et al., 2016). Malondialdehyde (MDA), an indicator of oxidative stress, may be more significant in skin of color due to the role of melanin and its interaction with inflammatory pathways. This could have an impact on the severity and chronicity of rosacea (Kim et al., 2020).</w:t>
      </w:r>
    </w:p>
    <w:p w14:paraId="777E728F" w14:textId="514CECCB" w:rsidR="3E1D1CAD" w:rsidRPr="00A45A56" w:rsidRDefault="3E1D1CAD" w:rsidP="00A45A56">
      <w:pPr>
        <w:pStyle w:val="Heading1"/>
        <w:rPr>
          <w:b/>
          <w:bCs/>
          <w:sz w:val="24"/>
          <w:szCs w:val="24"/>
        </w:rPr>
      </w:pPr>
      <w:bookmarkStart w:id="5" w:name="_Toc171010341"/>
      <w:r w:rsidRPr="00A45A56">
        <w:rPr>
          <w:b/>
          <w:bCs/>
          <w:sz w:val="24"/>
          <w:szCs w:val="24"/>
        </w:rPr>
        <w:t>Pathophysiology</w:t>
      </w:r>
      <w:bookmarkEnd w:id="5"/>
    </w:p>
    <w:p w14:paraId="02709F78" w14:textId="4BB7775D" w:rsidR="3E1D1CAD" w:rsidRPr="007C4EE8" w:rsidRDefault="3E1D1CAD" w:rsidP="007C4EE8">
      <w:pPr>
        <w:spacing w:before="240" w:line="480" w:lineRule="auto"/>
        <w:ind w:firstLine="720"/>
        <w:rPr>
          <w:sz w:val="24"/>
          <w:szCs w:val="24"/>
          <w:lang w:val="en-US"/>
        </w:rPr>
      </w:pPr>
      <w:r w:rsidRPr="007C4EE8">
        <w:rPr>
          <w:sz w:val="24"/>
          <w:szCs w:val="24"/>
          <w:lang w:val="en-US"/>
        </w:rPr>
        <w:t xml:space="preserve">Understanding the pathophysiology of rosacea is essential for devising effective detection methods and treatment strategies, yet the current knowledge in this area is incomplete. Rosacea involves the dysregulation of the neurovascular and immune systems. Genetic susceptibility connected to altered immune responsiveness as indicated by the association between rosacea and single nucleotide polymorphisms found in genes related to the major histocompatibility complex has been key interactions responsible for </w:t>
      </w:r>
      <w:r w:rsidR="005C3532" w:rsidRPr="007C4EE8">
        <w:rPr>
          <w:sz w:val="24"/>
          <w:szCs w:val="24"/>
          <w:lang w:val="en-US"/>
        </w:rPr>
        <w:t xml:space="preserve">the </w:t>
      </w:r>
      <w:r w:rsidRPr="007C4EE8">
        <w:rPr>
          <w:sz w:val="24"/>
          <w:szCs w:val="24"/>
          <w:lang w:val="en-US"/>
        </w:rPr>
        <w:t>skin condition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 Molecular mechanism</w:t>
      </w:r>
      <w:r w:rsidR="005C3532" w:rsidRPr="007C4EE8">
        <w:rPr>
          <w:sz w:val="24"/>
          <w:szCs w:val="24"/>
          <w:lang w:val="en-US"/>
        </w:rPr>
        <w:t>s</w:t>
      </w:r>
      <w:r w:rsidRPr="007C4EE8">
        <w:rPr>
          <w:sz w:val="24"/>
          <w:szCs w:val="24"/>
          <w:lang w:val="en-US"/>
        </w:rPr>
        <w:t xml:space="preserve"> causing rosacea are still unknown, however triggers such as microbes, ultraviolet radiation, nutrition, extreme temperatures, skin barrier disruption, psychosocial stress, and hormones are suggested to be responsible for the innate immune response and neurovascular dysregulation. Cell types like keratinocytes, mast cells, neurons, endothelial cells, macrophages, fibroblasts, and the Th1/Th17 cells aid in promotion of rosacea (Rainer, Kang et al. 2017). One intriguing aspect of rosacea pathophysiology is the involvement of toll-like receptors (TLRs) and transient receptor potential (TRP) channels, which initiate abnormal neurological signaling contributing to the disease's clinical manifestations. The initiation of these receptors </w:t>
      </w:r>
      <w:r w:rsidR="7A7D94BD" w:rsidRPr="007C4EE8">
        <w:rPr>
          <w:sz w:val="24"/>
          <w:szCs w:val="24"/>
          <w:lang w:val="en-US"/>
        </w:rPr>
        <w:t>contributes</w:t>
      </w:r>
      <w:r w:rsidRPr="007C4EE8">
        <w:rPr>
          <w:sz w:val="24"/>
          <w:szCs w:val="24"/>
          <w:lang w:val="en-US"/>
        </w:rPr>
        <w:t xml:space="preserve"> to the abnormal neurological signaling present by disrupting the innate immune system, abnormal inflammatory cytokine release and anti-microbial peptide response, also </w:t>
      </w:r>
      <w:r w:rsidRPr="007C4EE8">
        <w:rPr>
          <w:sz w:val="24"/>
          <w:szCs w:val="24"/>
          <w:lang w:val="en-US"/>
        </w:rPr>
        <w:lastRenderedPageBreak/>
        <w:t xml:space="preserve">known as AMP. People diagnosed with rosacea experience higher levels of </w:t>
      </w:r>
      <w:proofErr w:type="spellStart"/>
      <w:r w:rsidRPr="007C4EE8">
        <w:rPr>
          <w:sz w:val="24"/>
          <w:szCs w:val="24"/>
          <w:lang w:val="en-US"/>
        </w:rPr>
        <w:t>cathelicidin</w:t>
      </w:r>
      <w:proofErr w:type="spellEnd"/>
      <w:r w:rsidRPr="007C4EE8">
        <w:rPr>
          <w:sz w:val="24"/>
          <w:szCs w:val="24"/>
          <w:lang w:val="en-US"/>
        </w:rPr>
        <w:t xml:space="preserve"> expression. </w:t>
      </w:r>
      <w:proofErr w:type="spellStart"/>
      <w:r w:rsidRPr="007C4EE8">
        <w:rPr>
          <w:sz w:val="24"/>
          <w:szCs w:val="24"/>
          <w:lang w:val="en-US"/>
        </w:rPr>
        <w:t>Cathelicidin</w:t>
      </w:r>
      <w:proofErr w:type="spellEnd"/>
      <w:r w:rsidRPr="007C4EE8">
        <w:rPr>
          <w:sz w:val="24"/>
          <w:szCs w:val="24"/>
          <w:lang w:val="en-US"/>
        </w:rPr>
        <w:t xml:space="preserve"> is an AMP expressed by leukocytes and epithelial cells which should act as a bacterial defense molecule (Weiss, Katta 2017). When reviewing the pathophysiology from various sources, they all pointed to different </w:t>
      </w:r>
      <w:r w:rsidR="661901FC" w:rsidRPr="007C4EE8">
        <w:rPr>
          <w:sz w:val="24"/>
          <w:szCs w:val="24"/>
          <w:lang w:val="en-US"/>
        </w:rPr>
        <w:t>key points</w:t>
      </w:r>
      <w:r w:rsidRPr="007C4EE8">
        <w:rPr>
          <w:sz w:val="24"/>
          <w:szCs w:val="24"/>
          <w:lang w:val="en-US"/>
        </w:rPr>
        <w:t xml:space="preserve"> in causes and mechanisms of the disease further highlighting its unknown direct cause. Rosacea is a multifactorial disease (Rainer, Kang et al. 2017).</w:t>
      </w:r>
    </w:p>
    <w:p w14:paraId="59D43CE2" w14:textId="0D1A2E6B" w:rsidR="3E1D1CAD" w:rsidRPr="007C4EE8" w:rsidRDefault="3E1D1CAD" w:rsidP="007C4EE8">
      <w:pPr>
        <w:spacing w:before="240" w:line="480" w:lineRule="auto"/>
        <w:ind w:firstLine="720"/>
        <w:rPr>
          <w:sz w:val="24"/>
          <w:szCs w:val="24"/>
          <w:lang w:val="en-US"/>
        </w:rPr>
      </w:pPr>
      <w:r w:rsidRPr="007C4EE8">
        <w:rPr>
          <w:sz w:val="24"/>
          <w:szCs w:val="24"/>
          <w:lang w:val="en-US"/>
        </w:rPr>
        <w:t>The American National Rosacea Society made updates to the diagnosis and classification system of rosacea in 2002 to provide a standard criteria and language used amongst clinicians, researchers, patients, and health organizations to improve diagnosis of the disease</w:t>
      </w:r>
      <w:r w:rsidR="008459C8">
        <w:rPr>
          <w:sz w:val="24"/>
          <w:szCs w:val="24"/>
          <w:lang w:val="en-US"/>
        </w:rPr>
        <w:t xml:space="preserve"> (Table 2)</w:t>
      </w:r>
      <w:r w:rsidRPr="007C4EE8">
        <w:rPr>
          <w:sz w:val="24"/>
          <w:szCs w:val="24"/>
          <w:lang w:val="en-US"/>
        </w:rPr>
        <w:t xml:space="preserve">. Rosacea has been divided into four subtypes as follows, </w:t>
      </w:r>
      <w:proofErr w:type="spellStart"/>
      <w:r w:rsidRPr="007C4EE8">
        <w:rPr>
          <w:sz w:val="24"/>
          <w:szCs w:val="24"/>
          <w:lang w:val="en-US"/>
        </w:rPr>
        <w:t>erythematotelangiectatic</w:t>
      </w:r>
      <w:proofErr w:type="spellEnd"/>
      <w:r w:rsidRPr="007C4EE8">
        <w:rPr>
          <w:sz w:val="24"/>
          <w:szCs w:val="24"/>
          <w:lang w:val="en-US"/>
        </w:rPr>
        <w:t xml:space="preserve">, </w:t>
      </w:r>
      <w:r w:rsidR="2F8FB4E6" w:rsidRPr="007C4EE8">
        <w:rPr>
          <w:sz w:val="24"/>
          <w:szCs w:val="24"/>
          <w:lang w:val="en-US"/>
        </w:rPr>
        <w:t>papulopustular</w:t>
      </w:r>
      <w:r w:rsidRPr="007C4EE8">
        <w:rPr>
          <w:sz w:val="24"/>
          <w:szCs w:val="24"/>
          <w:lang w:val="en-US"/>
        </w:rPr>
        <w:t xml:space="preserve">, </w:t>
      </w:r>
      <w:r w:rsidR="4E9EC9AD" w:rsidRPr="007C4EE8">
        <w:rPr>
          <w:sz w:val="24"/>
          <w:szCs w:val="24"/>
          <w:lang w:val="en-US"/>
        </w:rPr>
        <w:t>phymatids</w:t>
      </w:r>
      <w:r w:rsidRPr="007C4EE8">
        <w:rPr>
          <w:sz w:val="24"/>
          <w:szCs w:val="24"/>
          <w:lang w:val="en-US"/>
        </w:rPr>
        <w:t>, and ocular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 This diagnostic system falls short for people with melanin rich skin due to low predictive values for flushing, papules, pustules, and </w:t>
      </w:r>
      <w:r w:rsidR="25C6DE5A" w:rsidRPr="007C4EE8">
        <w:rPr>
          <w:sz w:val="24"/>
          <w:szCs w:val="24"/>
          <w:lang w:val="en-US"/>
        </w:rPr>
        <w:t>telangiectasia</w:t>
      </w:r>
      <w:r w:rsidRPr="007C4EE8">
        <w:rPr>
          <w:sz w:val="24"/>
          <w:szCs w:val="24"/>
          <w:lang w:val="en-US"/>
        </w:rPr>
        <w:t>. This led to confusion in research and inability to accurately evaluate key features of the disease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 Erythema and telangiectasia are more difficult to observe in individuals with melanin rich skin. This is challenging in melanin rich skin because pigmentation can mask the appearance of redness and blood vessels. For people of color, the depth of lesions may also be deeper within the skin layers.</w:t>
      </w:r>
    </w:p>
    <w:tbl>
      <w:tblPr>
        <w:tblW w:w="9350" w:type="dxa"/>
        <w:tblLook w:val="04A0" w:firstRow="1" w:lastRow="0" w:firstColumn="1" w:lastColumn="0" w:noHBand="0" w:noVBand="1"/>
      </w:tblPr>
      <w:tblGrid>
        <w:gridCol w:w="1956"/>
        <w:gridCol w:w="7394"/>
      </w:tblGrid>
      <w:tr w:rsidR="00B77A7A" w:rsidRPr="00B77A7A" w14:paraId="6B6B7CD3" w14:textId="77777777" w:rsidTr="00B77A7A">
        <w:trPr>
          <w:trHeight w:val="320"/>
        </w:trPr>
        <w:tc>
          <w:tcPr>
            <w:tcW w:w="9350" w:type="dxa"/>
            <w:gridSpan w:val="2"/>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379F0ABB" w14:textId="77777777" w:rsidR="00B77A7A" w:rsidRPr="00B77A7A" w:rsidRDefault="00B77A7A" w:rsidP="00B77A7A">
            <w:pPr>
              <w:spacing w:line="240" w:lineRule="auto"/>
              <w:jc w:val="center"/>
              <w:rPr>
                <w:rFonts w:eastAsia="Times New Roman"/>
                <w:b/>
                <w:bCs/>
                <w:color w:val="000000"/>
                <w:sz w:val="24"/>
                <w:szCs w:val="24"/>
                <w:lang w:val="en-US" w:eastAsia="en-US"/>
              </w:rPr>
            </w:pPr>
            <w:r w:rsidRPr="00B77A7A">
              <w:rPr>
                <w:rFonts w:eastAsia="Times New Roman"/>
                <w:b/>
                <w:bCs/>
                <w:color w:val="000000"/>
                <w:sz w:val="24"/>
                <w:szCs w:val="24"/>
                <w:lang w:val="en-US" w:eastAsia="en-US"/>
              </w:rPr>
              <w:t>Diagnostic features</w:t>
            </w:r>
          </w:p>
        </w:tc>
      </w:tr>
      <w:tr w:rsidR="00B77A7A" w:rsidRPr="00B77A7A" w14:paraId="512EC716" w14:textId="77777777" w:rsidTr="00B77A7A">
        <w:trPr>
          <w:trHeight w:val="320"/>
        </w:trPr>
        <w:tc>
          <w:tcPr>
            <w:tcW w:w="142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A0A324" w14:textId="77777777" w:rsidR="00B77A7A" w:rsidRPr="00B77A7A" w:rsidRDefault="00B77A7A" w:rsidP="00B77A7A">
            <w:pPr>
              <w:spacing w:line="240" w:lineRule="auto"/>
              <w:rPr>
                <w:rFonts w:eastAsia="Times New Roman"/>
                <w:color w:val="000000"/>
                <w:sz w:val="24"/>
                <w:szCs w:val="24"/>
                <w:lang w:val="en-US" w:eastAsia="en-US"/>
              </w:rPr>
            </w:pPr>
            <w:proofErr w:type="spellStart"/>
            <w:r w:rsidRPr="00B77A7A">
              <w:rPr>
                <w:rFonts w:eastAsia="Times New Roman"/>
                <w:color w:val="000000"/>
                <w:sz w:val="24"/>
                <w:szCs w:val="24"/>
                <w:lang w:val="en-US" w:eastAsia="en-US"/>
              </w:rPr>
              <w:t>Phymatous</w:t>
            </w:r>
            <w:proofErr w:type="spellEnd"/>
            <w:r w:rsidRPr="00B77A7A">
              <w:rPr>
                <w:rFonts w:eastAsia="Times New Roman"/>
                <w:color w:val="000000"/>
                <w:sz w:val="24"/>
                <w:szCs w:val="24"/>
                <w:lang w:val="en-US" w:eastAsia="en-US"/>
              </w:rPr>
              <w:t xml:space="preserve"> changes</w:t>
            </w:r>
          </w:p>
        </w:tc>
        <w:tc>
          <w:tcPr>
            <w:tcW w:w="7922" w:type="dxa"/>
            <w:tcBorders>
              <w:top w:val="nil"/>
              <w:left w:val="nil"/>
              <w:bottom w:val="single" w:sz="4" w:space="0" w:color="auto"/>
              <w:right w:val="single" w:sz="4" w:space="0" w:color="auto"/>
            </w:tcBorders>
            <w:shd w:val="clear" w:color="auto" w:fill="auto"/>
            <w:noWrap/>
            <w:vAlign w:val="bottom"/>
            <w:hideMark/>
          </w:tcPr>
          <w:p w14:paraId="4E9F528D"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Chronic inflammation and oedema can progress to thickening of the skin and connective tissue and marked overgrowth of the sebaceous glands. Gradually, this causes a swollen, </w:t>
            </w:r>
            <w:proofErr w:type="gramStart"/>
            <w:r w:rsidRPr="00B77A7A">
              <w:rPr>
                <w:rFonts w:eastAsia="Times New Roman"/>
                <w:color w:val="000000"/>
                <w:sz w:val="24"/>
                <w:szCs w:val="24"/>
                <w:lang w:val="en-US" w:eastAsia="en-US"/>
              </w:rPr>
              <w:t>cobblestoned</w:t>
            </w:r>
            <w:proofErr w:type="gramEnd"/>
            <w:r w:rsidRPr="00B77A7A">
              <w:rPr>
                <w:rFonts w:eastAsia="Times New Roman"/>
                <w:color w:val="000000"/>
                <w:sz w:val="24"/>
                <w:szCs w:val="24"/>
                <w:lang w:val="en-US" w:eastAsia="en-US"/>
              </w:rPr>
              <w:t xml:space="preserve"> or lumpy surface of the affected skin. Over time, the skin becomes more nodular with accompanying fibrosis and dilated follicles</w:t>
            </w:r>
          </w:p>
        </w:tc>
      </w:tr>
      <w:tr w:rsidR="00B77A7A" w:rsidRPr="00B77A7A" w14:paraId="7B480A62"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0A9864FF"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1367417D"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Sebaceous hyperplasia can cause various bulbous distorted appearing facial features, most commonly affecting the nose (rhinophyma) and other structures, including the central forehead (</w:t>
            </w:r>
            <w:proofErr w:type="spellStart"/>
            <w:r w:rsidRPr="00B77A7A">
              <w:rPr>
                <w:rFonts w:eastAsia="Times New Roman"/>
                <w:color w:val="000000"/>
                <w:sz w:val="24"/>
                <w:szCs w:val="24"/>
                <w:lang w:val="en-US" w:eastAsia="en-US"/>
              </w:rPr>
              <w:t>metaphyma</w:t>
            </w:r>
            <w:proofErr w:type="spellEnd"/>
            <w:r w:rsidRPr="00B77A7A">
              <w:rPr>
                <w:rFonts w:eastAsia="Times New Roman"/>
                <w:color w:val="000000"/>
                <w:sz w:val="24"/>
                <w:szCs w:val="24"/>
                <w:lang w:val="en-US" w:eastAsia="en-US"/>
              </w:rPr>
              <w:t>), ears (</w:t>
            </w:r>
            <w:proofErr w:type="spellStart"/>
            <w:r w:rsidRPr="00B77A7A">
              <w:rPr>
                <w:rFonts w:eastAsia="Times New Roman"/>
                <w:color w:val="000000"/>
                <w:sz w:val="24"/>
                <w:szCs w:val="24"/>
                <w:lang w:val="en-US" w:eastAsia="en-US"/>
              </w:rPr>
              <w:t>otophyma</w:t>
            </w:r>
            <w:proofErr w:type="spellEnd"/>
            <w:r w:rsidRPr="00B77A7A">
              <w:rPr>
                <w:rFonts w:eastAsia="Times New Roman"/>
                <w:color w:val="000000"/>
                <w:sz w:val="24"/>
                <w:szCs w:val="24"/>
                <w:lang w:val="en-US" w:eastAsia="en-US"/>
              </w:rPr>
              <w:t>), central chin (</w:t>
            </w:r>
            <w:proofErr w:type="spellStart"/>
            <w:r w:rsidRPr="00B77A7A">
              <w:rPr>
                <w:rFonts w:eastAsia="Times New Roman"/>
                <w:color w:val="000000"/>
                <w:sz w:val="24"/>
                <w:szCs w:val="24"/>
                <w:lang w:val="en-US" w:eastAsia="en-US"/>
              </w:rPr>
              <w:t>gnathophyma</w:t>
            </w:r>
            <w:proofErr w:type="spellEnd"/>
            <w:r w:rsidRPr="00B77A7A">
              <w:rPr>
                <w:rFonts w:eastAsia="Times New Roman"/>
                <w:color w:val="000000"/>
                <w:sz w:val="24"/>
                <w:szCs w:val="24"/>
                <w:lang w:val="en-US" w:eastAsia="en-US"/>
              </w:rPr>
              <w:t>) and eyelids (</w:t>
            </w:r>
            <w:proofErr w:type="spellStart"/>
            <w:r w:rsidRPr="00B77A7A">
              <w:rPr>
                <w:rFonts w:eastAsia="Times New Roman"/>
                <w:color w:val="000000"/>
                <w:sz w:val="24"/>
                <w:szCs w:val="24"/>
                <w:lang w:val="en-US" w:eastAsia="en-US"/>
              </w:rPr>
              <w:t>blepharophyma</w:t>
            </w:r>
            <w:proofErr w:type="spellEnd"/>
            <w:r w:rsidRPr="00B77A7A">
              <w:rPr>
                <w:rFonts w:eastAsia="Times New Roman"/>
                <w:color w:val="000000"/>
                <w:sz w:val="24"/>
                <w:szCs w:val="24"/>
                <w:lang w:val="en-US" w:eastAsia="en-US"/>
              </w:rPr>
              <w:t>)</w:t>
            </w:r>
          </w:p>
        </w:tc>
      </w:tr>
      <w:tr w:rsidR="00B77A7A" w:rsidRPr="00B77A7A" w14:paraId="36018AFB"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15C357BA"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0209334C"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This variant is most predominant in men</w:t>
            </w:r>
          </w:p>
        </w:tc>
      </w:tr>
      <w:tr w:rsidR="00B77A7A" w:rsidRPr="00B77A7A" w14:paraId="364716B2"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743D84A4"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Persistent erythema</w:t>
            </w:r>
          </w:p>
        </w:tc>
        <w:tc>
          <w:tcPr>
            <w:tcW w:w="7922" w:type="dxa"/>
            <w:tcBorders>
              <w:top w:val="nil"/>
              <w:left w:val="nil"/>
              <w:bottom w:val="single" w:sz="4" w:space="0" w:color="auto"/>
              <w:right w:val="single" w:sz="4" w:space="0" w:color="auto"/>
            </w:tcBorders>
            <w:shd w:val="clear" w:color="auto" w:fill="auto"/>
            <w:noWrap/>
            <w:vAlign w:val="bottom"/>
            <w:hideMark/>
          </w:tcPr>
          <w:p w14:paraId="77168707"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Persistent central facial erythema associated with periodic intensification by potential trigger factors</w:t>
            </w:r>
          </w:p>
        </w:tc>
      </w:tr>
      <w:tr w:rsidR="00B77A7A" w:rsidRPr="00B77A7A" w14:paraId="36A4F162"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603E8DF1" w14:textId="77777777" w:rsidR="00B77A7A" w:rsidRPr="00B77A7A" w:rsidRDefault="00B77A7A" w:rsidP="00B77A7A">
            <w:pPr>
              <w:spacing w:line="240" w:lineRule="auto"/>
              <w:rPr>
                <w:rFonts w:eastAsia="Times New Roman"/>
                <w:b/>
                <w:bCs/>
                <w:color w:val="000000"/>
                <w:sz w:val="24"/>
                <w:szCs w:val="24"/>
                <w:lang w:val="en-US" w:eastAsia="en-US"/>
              </w:rPr>
            </w:pPr>
            <w:r w:rsidRPr="00B77A7A">
              <w:rPr>
                <w:rFonts w:eastAsia="Times New Roman"/>
                <w:b/>
                <w:bCs/>
                <w:color w:val="000000"/>
                <w:sz w:val="24"/>
                <w:szCs w:val="24"/>
                <w:lang w:val="en-US" w:eastAsia="en-US"/>
              </w:rPr>
              <w:t>Major features</w:t>
            </w:r>
          </w:p>
        </w:tc>
        <w:tc>
          <w:tcPr>
            <w:tcW w:w="7922" w:type="dxa"/>
            <w:tcBorders>
              <w:top w:val="nil"/>
              <w:left w:val="nil"/>
              <w:bottom w:val="single" w:sz="4" w:space="0" w:color="auto"/>
              <w:right w:val="single" w:sz="4" w:space="0" w:color="auto"/>
            </w:tcBorders>
            <w:shd w:val="clear" w:color="auto" w:fill="auto"/>
            <w:noWrap/>
            <w:vAlign w:val="bottom"/>
            <w:hideMark/>
          </w:tcPr>
          <w:p w14:paraId="5AD84A3D"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w:t>
            </w:r>
          </w:p>
        </w:tc>
      </w:tr>
      <w:tr w:rsidR="00B77A7A" w:rsidRPr="00B77A7A" w14:paraId="538E4AB7"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70CD13AA"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Flushing/blushing and transient </w:t>
            </w:r>
            <w:proofErr w:type="spellStart"/>
            <w:r w:rsidRPr="00B77A7A">
              <w:rPr>
                <w:rFonts w:eastAsia="Times New Roman"/>
                <w:color w:val="000000"/>
                <w:sz w:val="24"/>
                <w:szCs w:val="24"/>
                <w:lang w:val="en-US" w:eastAsia="en-US"/>
              </w:rPr>
              <w:t>centrofacial</w:t>
            </w:r>
            <w:proofErr w:type="spellEnd"/>
            <w:r w:rsidRPr="00B77A7A">
              <w:rPr>
                <w:rFonts w:eastAsia="Times New Roman"/>
                <w:color w:val="000000"/>
                <w:sz w:val="24"/>
                <w:szCs w:val="24"/>
                <w:lang w:val="en-US" w:eastAsia="en-US"/>
              </w:rPr>
              <w:t xml:space="preserve"> erythema</w:t>
            </w:r>
          </w:p>
        </w:tc>
        <w:tc>
          <w:tcPr>
            <w:tcW w:w="7922" w:type="dxa"/>
            <w:tcBorders>
              <w:top w:val="nil"/>
              <w:left w:val="nil"/>
              <w:bottom w:val="single" w:sz="4" w:space="0" w:color="auto"/>
              <w:right w:val="single" w:sz="4" w:space="0" w:color="auto"/>
            </w:tcBorders>
            <w:shd w:val="clear" w:color="auto" w:fill="auto"/>
            <w:noWrap/>
            <w:vAlign w:val="bottom"/>
            <w:hideMark/>
          </w:tcPr>
          <w:p w14:paraId="06786383"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Redness may involve the peripheral face, ears, </w:t>
            </w:r>
            <w:proofErr w:type="gramStart"/>
            <w:r w:rsidRPr="00B77A7A">
              <w:rPr>
                <w:rFonts w:eastAsia="Times New Roman"/>
                <w:color w:val="000000"/>
                <w:sz w:val="24"/>
                <w:szCs w:val="24"/>
                <w:lang w:val="en-US" w:eastAsia="en-US"/>
              </w:rPr>
              <w:t>neck</w:t>
            </w:r>
            <w:proofErr w:type="gramEnd"/>
            <w:r w:rsidRPr="00B77A7A">
              <w:rPr>
                <w:rFonts w:eastAsia="Times New Roman"/>
                <w:color w:val="000000"/>
                <w:sz w:val="24"/>
                <w:szCs w:val="24"/>
                <w:lang w:val="en-US" w:eastAsia="en-US"/>
              </w:rPr>
              <w:t xml:space="preserve"> and upper chest</w:t>
            </w:r>
          </w:p>
        </w:tc>
      </w:tr>
      <w:tr w:rsidR="00B77A7A" w:rsidRPr="00B77A7A" w14:paraId="66075C48"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14D53C2E"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Telangiectasia</w:t>
            </w:r>
          </w:p>
        </w:tc>
        <w:tc>
          <w:tcPr>
            <w:tcW w:w="7922" w:type="dxa"/>
            <w:tcBorders>
              <w:top w:val="nil"/>
              <w:left w:val="nil"/>
              <w:bottom w:val="single" w:sz="4" w:space="0" w:color="auto"/>
              <w:right w:val="single" w:sz="4" w:space="0" w:color="auto"/>
            </w:tcBorders>
            <w:shd w:val="clear" w:color="auto" w:fill="auto"/>
            <w:noWrap/>
            <w:vAlign w:val="bottom"/>
            <w:hideMark/>
          </w:tcPr>
          <w:p w14:paraId="53726130"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Telangiectasias initially develop along the alae nasi and, over time, on the nose and cheek</w:t>
            </w:r>
          </w:p>
        </w:tc>
      </w:tr>
      <w:tr w:rsidR="00B77A7A" w:rsidRPr="00B77A7A" w14:paraId="5BE5C320" w14:textId="77777777" w:rsidTr="00B77A7A">
        <w:trPr>
          <w:trHeight w:val="320"/>
        </w:trPr>
        <w:tc>
          <w:tcPr>
            <w:tcW w:w="142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6C1AEF"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Inflammatory papules and pustules</w:t>
            </w:r>
          </w:p>
        </w:tc>
        <w:tc>
          <w:tcPr>
            <w:tcW w:w="7922" w:type="dxa"/>
            <w:tcBorders>
              <w:top w:val="nil"/>
              <w:left w:val="nil"/>
              <w:bottom w:val="single" w:sz="4" w:space="0" w:color="auto"/>
              <w:right w:val="single" w:sz="4" w:space="0" w:color="auto"/>
            </w:tcBorders>
            <w:shd w:val="clear" w:color="auto" w:fill="auto"/>
            <w:noWrap/>
            <w:vAlign w:val="bottom"/>
            <w:hideMark/>
          </w:tcPr>
          <w:p w14:paraId="2552286E"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Patients can develop a </w:t>
            </w:r>
            <w:proofErr w:type="spellStart"/>
            <w:r w:rsidRPr="00B77A7A">
              <w:rPr>
                <w:rFonts w:eastAsia="Times New Roman"/>
                <w:color w:val="000000"/>
                <w:sz w:val="24"/>
                <w:szCs w:val="24"/>
                <w:lang w:val="en-US" w:eastAsia="en-US"/>
              </w:rPr>
              <w:t>centrofacial</w:t>
            </w:r>
            <w:proofErr w:type="spellEnd"/>
            <w:r w:rsidRPr="00B77A7A">
              <w:rPr>
                <w:rFonts w:eastAsia="Times New Roman"/>
                <w:color w:val="000000"/>
                <w:sz w:val="24"/>
                <w:szCs w:val="24"/>
                <w:lang w:val="en-US" w:eastAsia="en-US"/>
              </w:rPr>
              <w:t xml:space="preserve"> eruption of small (&lt;3 mm), dome-shaped, acneiform papules and pustules to occasional deep persistent nodules</w:t>
            </w:r>
          </w:p>
        </w:tc>
      </w:tr>
      <w:tr w:rsidR="00B77A7A" w:rsidRPr="00B77A7A" w14:paraId="0CCA306C"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187B8130"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5517CAC1"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The lesions have a deeper red </w:t>
            </w:r>
            <w:proofErr w:type="spellStart"/>
            <w:r w:rsidRPr="00B77A7A">
              <w:rPr>
                <w:rFonts w:eastAsia="Times New Roman"/>
                <w:color w:val="000000"/>
                <w:sz w:val="24"/>
                <w:szCs w:val="24"/>
                <w:lang w:val="en-US" w:eastAsia="en-US"/>
              </w:rPr>
              <w:t>colour</w:t>
            </w:r>
            <w:proofErr w:type="spellEnd"/>
            <w:r w:rsidRPr="00B77A7A">
              <w:rPr>
                <w:rFonts w:eastAsia="Times New Roman"/>
                <w:color w:val="000000"/>
                <w:sz w:val="24"/>
                <w:szCs w:val="24"/>
                <w:lang w:val="en-US" w:eastAsia="en-US"/>
              </w:rPr>
              <w:t xml:space="preserve"> compared to similar lesions seen in acne and have the presence of perilesional erythema</w:t>
            </w:r>
          </w:p>
        </w:tc>
      </w:tr>
      <w:tr w:rsidR="00B77A7A" w:rsidRPr="00B77A7A" w14:paraId="58220A47"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43B05EB3"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602DCD18"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In contrast to acne, these lesions are not </w:t>
            </w:r>
            <w:proofErr w:type="spellStart"/>
            <w:r w:rsidRPr="00B77A7A">
              <w:rPr>
                <w:rFonts w:eastAsia="Times New Roman"/>
                <w:color w:val="000000"/>
                <w:sz w:val="24"/>
                <w:szCs w:val="24"/>
                <w:lang w:val="en-US" w:eastAsia="en-US"/>
              </w:rPr>
              <w:t>centred</w:t>
            </w:r>
            <w:proofErr w:type="spellEnd"/>
            <w:r w:rsidRPr="00B77A7A">
              <w:rPr>
                <w:rFonts w:eastAsia="Times New Roman"/>
                <w:color w:val="000000"/>
                <w:sz w:val="24"/>
                <w:szCs w:val="24"/>
                <w:lang w:val="en-US" w:eastAsia="en-US"/>
              </w:rPr>
              <w:t xml:space="preserve"> around a </w:t>
            </w:r>
            <w:proofErr w:type="spellStart"/>
            <w:r w:rsidRPr="00B77A7A">
              <w:rPr>
                <w:rFonts w:eastAsia="Times New Roman"/>
                <w:color w:val="000000"/>
                <w:sz w:val="24"/>
                <w:szCs w:val="24"/>
                <w:lang w:val="en-US" w:eastAsia="en-US"/>
              </w:rPr>
              <w:t>comedone</w:t>
            </w:r>
            <w:proofErr w:type="spellEnd"/>
          </w:p>
        </w:tc>
      </w:tr>
      <w:tr w:rsidR="00B77A7A" w:rsidRPr="00B77A7A" w14:paraId="31F40087" w14:textId="77777777" w:rsidTr="00B77A7A">
        <w:trPr>
          <w:trHeight w:val="320"/>
        </w:trPr>
        <w:tc>
          <w:tcPr>
            <w:tcW w:w="142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F12999"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Ocular rosacea</w:t>
            </w:r>
          </w:p>
        </w:tc>
        <w:tc>
          <w:tcPr>
            <w:tcW w:w="7922" w:type="dxa"/>
            <w:tcBorders>
              <w:top w:val="nil"/>
              <w:left w:val="nil"/>
              <w:bottom w:val="single" w:sz="4" w:space="0" w:color="auto"/>
              <w:right w:val="single" w:sz="4" w:space="0" w:color="auto"/>
            </w:tcBorders>
            <w:shd w:val="clear" w:color="auto" w:fill="auto"/>
            <w:noWrap/>
            <w:vAlign w:val="bottom"/>
            <w:hideMark/>
          </w:tcPr>
          <w:p w14:paraId="3AD5AA53" w14:textId="77777777" w:rsidR="00B77A7A" w:rsidRPr="00B77A7A" w:rsidRDefault="00B77A7A" w:rsidP="00B77A7A">
            <w:pPr>
              <w:spacing w:line="240" w:lineRule="auto"/>
              <w:rPr>
                <w:rFonts w:eastAsia="Times New Roman"/>
                <w:sz w:val="24"/>
                <w:szCs w:val="24"/>
                <w:lang w:val="en-US" w:eastAsia="en-US"/>
              </w:rPr>
            </w:pPr>
            <w:hyperlink r:id="rId10" w:anchor="b31-dic-2021-11-1" w:history="1">
              <w:r w:rsidRPr="00B77A7A">
                <w:rPr>
                  <w:rFonts w:eastAsia="Times New Roman"/>
                  <w:sz w:val="24"/>
                  <w:szCs w:val="24"/>
                  <w:lang w:val="en-US" w:eastAsia="en-US"/>
                </w:rPr>
                <w:t>Whilst ocular rosacea can occur in patients with quite discrete or completely absent cutaneous findings, it is believed that ocular involvement can occur in greater than 50% of patients with rosacea31</w:t>
              </w:r>
            </w:hyperlink>
          </w:p>
        </w:tc>
      </w:tr>
      <w:tr w:rsidR="00B77A7A" w:rsidRPr="00B77A7A" w14:paraId="4B0DF88A"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78C514BB"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3BB93408" w14:textId="77777777" w:rsidR="00B77A7A" w:rsidRPr="00B77A7A" w:rsidRDefault="00B77A7A" w:rsidP="00B77A7A">
            <w:pPr>
              <w:spacing w:line="240" w:lineRule="auto"/>
              <w:rPr>
                <w:rFonts w:eastAsia="Times New Roman"/>
                <w:sz w:val="24"/>
                <w:szCs w:val="24"/>
                <w:lang w:val="en-US" w:eastAsia="en-US"/>
              </w:rPr>
            </w:pPr>
            <w:hyperlink r:id="rId11" w:anchor="b32-dic-2021-11-1" w:history="1">
              <w:r w:rsidRPr="00B77A7A">
                <w:rPr>
                  <w:rFonts w:eastAsia="Times New Roman"/>
                  <w:sz w:val="24"/>
                  <w:szCs w:val="24"/>
                  <w:lang w:val="en-US" w:eastAsia="en-US"/>
                </w:rPr>
                <w:t>Symptoms are typically bilateral and include a sensation of dryness, tired eyes due to oedema, blurry vision, pain, burning, tearing, light sensitivity, itchiness, irritation, gritty sensation in the eyes, and foreign body sensation32</w:t>
              </w:r>
            </w:hyperlink>
          </w:p>
        </w:tc>
      </w:tr>
      <w:tr w:rsidR="00B77A7A" w:rsidRPr="00B77A7A" w14:paraId="69F5BC7E"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7204939B"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349F9A78" w14:textId="77777777" w:rsidR="00B77A7A" w:rsidRPr="00B77A7A" w:rsidRDefault="00B77A7A" w:rsidP="00B77A7A">
            <w:pPr>
              <w:spacing w:line="240" w:lineRule="auto"/>
              <w:rPr>
                <w:rFonts w:eastAsia="Times New Roman"/>
                <w:sz w:val="24"/>
                <w:szCs w:val="24"/>
                <w:lang w:val="en-US" w:eastAsia="en-US"/>
              </w:rPr>
            </w:pPr>
            <w:hyperlink r:id="rId12" w:anchor="b32-dic-2021-11-1" w:history="1">
              <w:r w:rsidRPr="00B77A7A">
                <w:rPr>
                  <w:rFonts w:eastAsia="Times New Roman"/>
                  <w:sz w:val="24"/>
                  <w:szCs w:val="24"/>
                  <w:lang w:val="en-US" w:eastAsia="en-US"/>
                </w:rPr>
                <w:t>Potential complications include conjunctival telangiectasias, conjunctival injection, blepharitis, keratitis, scleritis, iritis, conjunctivitis, styes, chalazions and corneal damage32</w:t>
              </w:r>
            </w:hyperlink>
          </w:p>
        </w:tc>
      </w:tr>
      <w:tr w:rsidR="00B77A7A" w:rsidRPr="00B77A7A" w14:paraId="1EC01B2B"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134D11E1"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0EB3B1FE"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There is no correlation between the severity of cutaneous and ocular symptoms</w:t>
            </w:r>
          </w:p>
        </w:tc>
      </w:tr>
      <w:tr w:rsidR="00B77A7A" w:rsidRPr="00B77A7A" w14:paraId="15B31B8A"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4ADEF572" w14:textId="77777777" w:rsidR="00B77A7A" w:rsidRPr="00B77A7A" w:rsidRDefault="00B77A7A" w:rsidP="00B77A7A">
            <w:pPr>
              <w:spacing w:line="240" w:lineRule="auto"/>
              <w:rPr>
                <w:rFonts w:eastAsia="Times New Roman"/>
                <w:b/>
                <w:bCs/>
                <w:color w:val="000000"/>
                <w:sz w:val="24"/>
                <w:szCs w:val="24"/>
                <w:lang w:val="en-US" w:eastAsia="en-US"/>
              </w:rPr>
            </w:pPr>
            <w:r w:rsidRPr="00B77A7A">
              <w:rPr>
                <w:rFonts w:eastAsia="Times New Roman"/>
                <w:b/>
                <w:bCs/>
                <w:color w:val="000000"/>
                <w:sz w:val="24"/>
                <w:szCs w:val="24"/>
                <w:lang w:val="en-US" w:eastAsia="en-US"/>
              </w:rPr>
              <w:t>Minor features</w:t>
            </w:r>
          </w:p>
        </w:tc>
        <w:tc>
          <w:tcPr>
            <w:tcW w:w="7922" w:type="dxa"/>
            <w:tcBorders>
              <w:top w:val="nil"/>
              <w:left w:val="nil"/>
              <w:bottom w:val="single" w:sz="4" w:space="0" w:color="auto"/>
              <w:right w:val="single" w:sz="4" w:space="0" w:color="auto"/>
            </w:tcBorders>
            <w:shd w:val="clear" w:color="auto" w:fill="auto"/>
            <w:noWrap/>
            <w:vAlign w:val="bottom"/>
            <w:hideMark/>
          </w:tcPr>
          <w:p w14:paraId="667AF26D"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w:t>
            </w:r>
          </w:p>
        </w:tc>
      </w:tr>
      <w:tr w:rsidR="00B77A7A" w:rsidRPr="00B77A7A" w14:paraId="42350077"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13342BBE"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Burning sensation of the skin</w:t>
            </w:r>
          </w:p>
        </w:tc>
        <w:tc>
          <w:tcPr>
            <w:tcW w:w="7922" w:type="dxa"/>
            <w:tcBorders>
              <w:top w:val="nil"/>
              <w:left w:val="nil"/>
              <w:bottom w:val="single" w:sz="4" w:space="0" w:color="auto"/>
              <w:right w:val="single" w:sz="4" w:space="0" w:color="auto"/>
            </w:tcBorders>
            <w:shd w:val="clear" w:color="auto" w:fill="auto"/>
            <w:noWrap/>
            <w:vAlign w:val="bottom"/>
            <w:hideMark/>
          </w:tcPr>
          <w:p w14:paraId="537ECAC0"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w:t>
            </w:r>
          </w:p>
        </w:tc>
      </w:tr>
      <w:tr w:rsidR="00B77A7A" w:rsidRPr="00B77A7A" w14:paraId="3C708882"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065FB179"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Stinging sensation of the skin</w:t>
            </w:r>
          </w:p>
        </w:tc>
        <w:tc>
          <w:tcPr>
            <w:tcW w:w="7922" w:type="dxa"/>
            <w:tcBorders>
              <w:top w:val="nil"/>
              <w:left w:val="nil"/>
              <w:bottom w:val="single" w:sz="4" w:space="0" w:color="auto"/>
              <w:right w:val="single" w:sz="4" w:space="0" w:color="auto"/>
            </w:tcBorders>
            <w:shd w:val="clear" w:color="auto" w:fill="auto"/>
            <w:noWrap/>
            <w:vAlign w:val="bottom"/>
            <w:hideMark/>
          </w:tcPr>
          <w:p w14:paraId="20281313"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w:t>
            </w:r>
          </w:p>
        </w:tc>
      </w:tr>
      <w:tr w:rsidR="00B77A7A" w:rsidRPr="00B77A7A" w14:paraId="25869DAD" w14:textId="77777777" w:rsidTr="00B77A7A">
        <w:trPr>
          <w:trHeight w:val="32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4431BD71"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Dry sensation of the skin</w:t>
            </w:r>
          </w:p>
        </w:tc>
        <w:tc>
          <w:tcPr>
            <w:tcW w:w="7922" w:type="dxa"/>
            <w:tcBorders>
              <w:top w:val="nil"/>
              <w:left w:val="nil"/>
              <w:bottom w:val="single" w:sz="4" w:space="0" w:color="auto"/>
              <w:right w:val="single" w:sz="4" w:space="0" w:color="auto"/>
            </w:tcBorders>
            <w:shd w:val="clear" w:color="auto" w:fill="auto"/>
            <w:noWrap/>
            <w:vAlign w:val="bottom"/>
            <w:hideMark/>
          </w:tcPr>
          <w:p w14:paraId="433D6633"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w:t>
            </w:r>
          </w:p>
        </w:tc>
      </w:tr>
      <w:tr w:rsidR="00B77A7A" w:rsidRPr="00B77A7A" w14:paraId="42CDC846" w14:textId="77777777" w:rsidTr="00B77A7A">
        <w:trPr>
          <w:trHeight w:val="320"/>
        </w:trPr>
        <w:tc>
          <w:tcPr>
            <w:tcW w:w="142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5BC5F2"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lastRenderedPageBreak/>
              <w:t>Oedema</w:t>
            </w:r>
          </w:p>
        </w:tc>
        <w:tc>
          <w:tcPr>
            <w:tcW w:w="7922" w:type="dxa"/>
            <w:tcBorders>
              <w:top w:val="nil"/>
              <w:left w:val="nil"/>
              <w:bottom w:val="single" w:sz="4" w:space="0" w:color="auto"/>
              <w:right w:val="single" w:sz="4" w:space="0" w:color="auto"/>
            </w:tcBorders>
            <w:shd w:val="clear" w:color="auto" w:fill="auto"/>
            <w:noWrap/>
            <w:vAlign w:val="bottom"/>
            <w:hideMark/>
          </w:tcPr>
          <w:p w14:paraId="33C5B56C"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Patients may also occasionally develop oedema from recurrent vasodilation, leading to a sense of fullness of the cheeks and a subtle feeling of induration</w:t>
            </w:r>
          </w:p>
        </w:tc>
      </w:tr>
      <w:tr w:rsidR="00B77A7A" w:rsidRPr="00B77A7A" w14:paraId="0C92812F" w14:textId="77777777" w:rsidTr="00B77A7A">
        <w:trPr>
          <w:trHeight w:val="320"/>
        </w:trPr>
        <w:tc>
          <w:tcPr>
            <w:tcW w:w="1428" w:type="dxa"/>
            <w:vMerge/>
            <w:tcBorders>
              <w:top w:val="nil"/>
              <w:left w:val="single" w:sz="4" w:space="0" w:color="auto"/>
              <w:bottom w:val="single" w:sz="4" w:space="0" w:color="auto"/>
              <w:right w:val="single" w:sz="4" w:space="0" w:color="auto"/>
            </w:tcBorders>
            <w:vAlign w:val="center"/>
            <w:hideMark/>
          </w:tcPr>
          <w:p w14:paraId="6B890FAD" w14:textId="77777777" w:rsidR="00B77A7A" w:rsidRPr="00B77A7A" w:rsidRDefault="00B77A7A" w:rsidP="00B77A7A">
            <w:pPr>
              <w:spacing w:line="240" w:lineRule="auto"/>
              <w:rPr>
                <w:rFonts w:eastAsia="Times New Roman"/>
                <w:color w:val="000000"/>
                <w:sz w:val="24"/>
                <w:szCs w:val="24"/>
                <w:lang w:val="en-US" w:eastAsia="en-US"/>
              </w:rPr>
            </w:pPr>
          </w:p>
        </w:tc>
        <w:tc>
          <w:tcPr>
            <w:tcW w:w="7922" w:type="dxa"/>
            <w:tcBorders>
              <w:top w:val="nil"/>
              <w:left w:val="nil"/>
              <w:bottom w:val="single" w:sz="4" w:space="0" w:color="auto"/>
              <w:right w:val="single" w:sz="4" w:space="0" w:color="auto"/>
            </w:tcBorders>
            <w:shd w:val="clear" w:color="auto" w:fill="auto"/>
            <w:noWrap/>
            <w:vAlign w:val="bottom"/>
            <w:hideMark/>
          </w:tcPr>
          <w:p w14:paraId="042B4F6B" w14:textId="77777777" w:rsidR="00B77A7A" w:rsidRPr="00B77A7A" w:rsidRDefault="00B77A7A" w:rsidP="00B77A7A">
            <w:pPr>
              <w:spacing w:line="240" w:lineRule="auto"/>
              <w:rPr>
                <w:rFonts w:eastAsia="Times New Roman"/>
                <w:color w:val="000000"/>
                <w:sz w:val="24"/>
                <w:szCs w:val="24"/>
                <w:lang w:val="en-US" w:eastAsia="en-US"/>
              </w:rPr>
            </w:pPr>
            <w:r w:rsidRPr="00B77A7A">
              <w:rPr>
                <w:rFonts w:eastAsia="Times New Roman"/>
                <w:color w:val="000000"/>
                <w:sz w:val="24"/>
                <w:szCs w:val="24"/>
                <w:lang w:val="en-US" w:eastAsia="en-US"/>
              </w:rPr>
              <w:t xml:space="preserve">Over time, patients may develop dramatic swelling leading to </w:t>
            </w:r>
            <w:proofErr w:type="spellStart"/>
            <w:r w:rsidRPr="00B77A7A">
              <w:rPr>
                <w:rFonts w:eastAsia="Times New Roman"/>
                <w:color w:val="000000"/>
                <w:sz w:val="24"/>
                <w:szCs w:val="24"/>
                <w:lang w:val="en-US" w:eastAsia="en-US"/>
              </w:rPr>
              <w:t>lymphoedematous</w:t>
            </w:r>
            <w:proofErr w:type="spellEnd"/>
            <w:r w:rsidRPr="00B77A7A">
              <w:rPr>
                <w:rFonts w:eastAsia="Times New Roman"/>
                <w:color w:val="000000"/>
                <w:sz w:val="24"/>
                <w:szCs w:val="24"/>
                <w:lang w:val="en-US" w:eastAsia="en-US"/>
              </w:rPr>
              <w:t xml:space="preserve"> changes which can affect the entire face</w:t>
            </w:r>
          </w:p>
        </w:tc>
      </w:tr>
      <w:tr w:rsidR="00B77A7A" w:rsidRPr="00B77A7A" w14:paraId="26E020BC" w14:textId="77777777" w:rsidTr="00B77A7A">
        <w:trPr>
          <w:trHeight w:val="320"/>
        </w:trPr>
        <w:tc>
          <w:tcPr>
            <w:tcW w:w="9350" w:type="dxa"/>
            <w:gridSpan w:val="2"/>
            <w:tcBorders>
              <w:top w:val="nil"/>
              <w:left w:val="nil"/>
              <w:bottom w:val="nil"/>
              <w:right w:val="nil"/>
            </w:tcBorders>
            <w:shd w:val="clear" w:color="auto" w:fill="auto"/>
            <w:noWrap/>
            <w:vAlign w:val="bottom"/>
            <w:hideMark/>
          </w:tcPr>
          <w:p w14:paraId="7AD73632" w14:textId="77777777" w:rsidR="00B77A7A" w:rsidRDefault="00B77A7A" w:rsidP="00B77A7A">
            <w:pPr>
              <w:spacing w:line="240" w:lineRule="auto"/>
              <w:rPr>
                <w:rFonts w:eastAsia="Times New Roman"/>
                <w:color w:val="333333"/>
                <w:sz w:val="24"/>
                <w:szCs w:val="24"/>
                <w:lang w:val="en-US" w:eastAsia="en-US"/>
              </w:rPr>
            </w:pPr>
            <w:r w:rsidRPr="00B77A7A">
              <w:rPr>
                <w:rFonts w:eastAsia="Times New Roman"/>
                <w:color w:val="333333"/>
                <w:sz w:val="24"/>
                <w:szCs w:val="24"/>
                <w:lang w:val="en-US" w:eastAsia="en-US"/>
              </w:rPr>
              <w:t>Adapted from Schaller et al.</w:t>
            </w:r>
            <w:r w:rsidR="008459C8">
              <w:rPr>
                <w:rFonts w:eastAsia="Times New Roman"/>
                <w:color w:val="333333"/>
                <w:sz w:val="24"/>
                <w:szCs w:val="24"/>
                <w:lang w:val="en-US" w:eastAsia="en-US"/>
              </w:rPr>
              <w:t>2019</w:t>
            </w:r>
            <w:r w:rsidR="008459C8">
              <w:t xml:space="preserve"> </w:t>
            </w:r>
            <w:r w:rsidR="008459C8" w:rsidRPr="008459C8">
              <w:rPr>
                <w:rFonts w:eastAsia="Times New Roman"/>
                <w:color w:val="333333"/>
                <w:sz w:val="24"/>
                <w:szCs w:val="24"/>
                <w:lang w:val="en-US" w:eastAsia="en-US"/>
              </w:rPr>
              <w:t>Chiang, Ward et al. 2022</w:t>
            </w:r>
            <w:r w:rsidRPr="00B77A7A">
              <w:rPr>
                <w:rFonts w:eastAsia="Times New Roman"/>
                <w:color w:val="333333"/>
                <w:sz w:val="24"/>
                <w:szCs w:val="24"/>
                <w:lang w:val="en-US" w:eastAsia="en-US"/>
              </w:rPr>
              <w:t> and Gallo et al</w:t>
            </w:r>
            <w:r w:rsidR="008459C8">
              <w:rPr>
                <w:rFonts w:eastAsia="Times New Roman"/>
                <w:color w:val="333333"/>
                <w:sz w:val="24"/>
                <w:szCs w:val="24"/>
                <w:lang w:val="en-US" w:eastAsia="en-US"/>
              </w:rPr>
              <w:t xml:space="preserve">. </w:t>
            </w:r>
            <w:proofErr w:type="gramStart"/>
            <w:r w:rsidR="008459C8">
              <w:rPr>
                <w:rFonts w:eastAsia="Times New Roman"/>
                <w:color w:val="333333"/>
                <w:sz w:val="24"/>
                <w:szCs w:val="24"/>
                <w:lang w:val="en-US" w:eastAsia="en-US"/>
              </w:rPr>
              <w:t>2017</w:t>
            </w:r>
            <w:proofErr w:type="gramEnd"/>
          </w:p>
          <w:p w14:paraId="6B729C39" w14:textId="455B7F94" w:rsidR="008459C8" w:rsidRPr="00B77A7A" w:rsidRDefault="008459C8" w:rsidP="00B77A7A">
            <w:pPr>
              <w:spacing w:line="240" w:lineRule="auto"/>
              <w:rPr>
                <w:rFonts w:eastAsia="Times New Roman"/>
                <w:color w:val="333333"/>
                <w:sz w:val="24"/>
                <w:szCs w:val="24"/>
                <w:lang w:val="en-US" w:eastAsia="en-US"/>
              </w:rPr>
            </w:pPr>
            <w:r w:rsidRPr="008459C8">
              <w:rPr>
                <w:rFonts w:eastAsia="Times New Roman"/>
                <w:b/>
                <w:bCs/>
                <w:color w:val="333333"/>
                <w:sz w:val="24"/>
                <w:szCs w:val="24"/>
                <w:lang w:val="en-US" w:eastAsia="en-US"/>
              </w:rPr>
              <w:t>Table 2.</w:t>
            </w:r>
            <w:r>
              <w:rPr>
                <w:rFonts w:eastAsia="Times New Roman"/>
                <w:color w:val="333333"/>
                <w:sz w:val="24"/>
                <w:szCs w:val="24"/>
                <w:lang w:val="en-US" w:eastAsia="en-US"/>
              </w:rPr>
              <w:t xml:space="preserve"> Diagnostic features of rosacea</w:t>
            </w:r>
          </w:p>
        </w:tc>
      </w:tr>
    </w:tbl>
    <w:p w14:paraId="6719BDD1" w14:textId="063C318B" w:rsidR="3E1D1CAD" w:rsidRPr="007C4EE8" w:rsidRDefault="3E1D1CAD" w:rsidP="007C4EE8">
      <w:pPr>
        <w:spacing w:before="240" w:line="480" w:lineRule="auto"/>
        <w:ind w:firstLine="720"/>
        <w:rPr>
          <w:sz w:val="24"/>
          <w:szCs w:val="24"/>
          <w:lang w:val="en-US"/>
        </w:rPr>
      </w:pPr>
      <w:r w:rsidRPr="007C4EE8">
        <w:rPr>
          <w:sz w:val="24"/>
          <w:szCs w:val="24"/>
          <w:lang w:val="en-US"/>
        </w:rPr>
        <w:t xml:space="preserve">In skin of color, most individuals with rosacea appear with hypopigmentation surrounding the borders of erythema as compared to Fitzgerald I and II skin types (Ariel L. </w:t>
      </w:r>
      <w:proofErr w:type="spellStart"/>
      <w:r w:rsidRPr="007C4EE8">
        <w:rPr>
          <w:sz w:val="24"/>
          <w:szCs w:val="24"/>
          <w:lang w:val="en-US"/>
        </w:rPr>
        <w:t>Botwin</w:t>
      </w:r>
      <w:proofErr w:type="spellEnd"/>
      <w:r w:rsidRPr="007C4EE8">
        <w:rPr>
          <w:sz w:val="24"/>
          <w:szCs w:val="24"/>
          <w:lang w:val="en-US"/>
        </w:rPr>
        <w:t xml:space="preserve">, Ajay Kailas et al. 2017) The genetics of rosacea have been investigated in individuals from various populations and this resulted in the recognition of challenges people of color may face from atypical clinical presentations and post-inflammatory hyperpigmentation. This </w:t>
      </w:r>
      <w:r w:rsidR="5A4CDE57" w:rsidRPr="007C4EE8">
        <w:rPr>
          <w:sz w:val="24"/>
          <w:szCs w:val="24"/>
          <w:lang w:val="en-US"/>
        </w:rPr>
        <w:t>post inflammatory</w:t>
      </w:r>
      <w:r w:rsidRPr="007C4EE8">
        <w:rPr>
          <w:sz w:val="24"/>
          <w:szCs w:val="24"/>
          <w:lang w:val="en-US"/>
        </w:rPr>
        <w:t xml:space="preserve"> </w:t>
      </w:r>
      <w:r w:rsidR="6A7327DD" w:rsidRPr="007C4EE8">
        <w:rPr>
          <w:sz w:val="24"/>
          <w:szCs w:val="24"/>
          <w:lang w:val="en-US"/>
        </w:rPr>
        <w:t>hyperpigmentation</w:t>
      </w:r>
      <w:r w:rsidRPr="007C4EE8">
        <w:rPr>
          <w:sz w:val="24"/>
          <w:szCs w:val="24"/>
          <w:lang w:val="en-US"/>
        </w:rPr>
        <w:t xml:space="preserve"> occurs as a response to inflammation, cutaneous irritation or injury, and subsequent melanocyte lability (</w:t>
      </w:r>
      <w:proofErr w:type="spellStart"/>
      <w:r w:rsidRPr="007C4EE8">
        <w:rPr>
          <w:sz w:val="24"/>
          <w:szCs w:val="24"/>
          <w:lang w:val="en-US"/>
        </w:rPr>
        <w:t>Callender</w:t>
      </w:r>
      <w:proofErr w:type="spellEnd"/>
      <w:r w:rsidRPr="007C4EE8">
        <w:rPr>
          <w:sz w:val="24"/>
          <w:szCs w:val="24"/>
          <w:lang w:val="en-US"/>
        </w:rPr>
        <w:t xml:space="preserve"> 2017). </w:t>
      </w:r>
    </w:p>
    <w:p w14:paraId="1CD3336D" w14:textId="3720A728" w:rsidR="3E1D1CAD" w:rsidRPr="007C4EE8" w:rsidRDefault="3E1D1CAD" w:rsidP="007C4EE8">
      <w:pPr>
        <w:spacing w:line="480" w:lineRule="auto"/>
        <w:ind w:firstLine="720"/>
        <w:rPr>
          <w:sz w:val="24"/>
          <w:szCs w:val="24"/>
          <w:lang w:val="en-US"/>
        </w:rPr>
      </w:pPr>
      <w:r w:rsidRPr="007C4EE8">
        <w:rPr>
          <w:sz w:val="24"/>
          <w:szCs w:val="24"/>
          <w:lang w:val="en-US"/>
        </w:rPr>
        <w:t xml:space="preserve">Rosacea has been described by many sources as a complex interplay of genetic and environmental factors that contribute to its development. In individuals with rosacea, the immune system is interrupted which causes irregular host defense by cytokines and AMPs (Weiss, Katta 2017). This causes an exaggerated response to stimuli resulting in an inflammatory cascade. In rosacea, the vascular mechanism contributes to the physical appearance by causing vasodilation. Neurovascular dysregulation causes the blood vessels to dilate by the release of neuropeptides from sensory nerves. Exposure to sunlight or ultraviolet light heightens the inflammatory response in individuals with rosacea because of the weakness of the skin barrier. The skin barrier, resulting from the inflammatory, vascular, and neural changes induces the acceleration of epidermal proliferation and differentiation causing a deficient stratum </w:t>
      </w:r>
      <w:r w:rsidRPr="007C4EE8">
        <w:rPr>
          <w:sz w:val="24"/>
          <w:szCs w:val="24"/>
          <w:lang w:val="en-US"/>
        </w:rPr>
        <w:lastRenderedPageBreak/>
        <w:t>corneum (</w:t>
      </w:r>
      <w:proofErr w:type="spellStart"/>
      <w:r w:rsidRPr="007C4EE8">
        <w:rPr>
          <w:sz w:val="24"/>
          <w:szCs w:val="24"/>
          <w:lang w:val="en-US"/>
        </w:rPr>
        <w:t>Alvim</w:t>
      </w:r>
      <w:proofErr w:type="spellEnd"/>
      <w:r w:rsidRPr="007C4EE8">
        <w:rPr>
          <w:sz w:val="24"/>
          <w:szCs w:val="24"/>
          <w:lang w:val="en-US"/>
        </w:rPr>
        <w:t xml:space="preserve">, </w:t>
      </w:r>
      <w:proofErr w:type="spellStart"/>
      <w:r w:rsidRPr="007C4EE8">
        <w:rPr>
          <w:sz w:val="24"/>
          <w:szCs w:val="24"/>
          <w:lang w:val="en-US"/>
        </w:rPr>
        <w:t>Addor</w:t>
      </w:r>
      <w:proofErr w:type="spellEnd"/>
      <w:r w:rsidRPr="007C4EE8">
        <w:rPr>
          <w:sz w:val="24"/>
          <w:szCs w:val="24"/>
          <w:lang w:val="en-US"/>
        </w:rPr>
        <w:t xml:space="preserve"> 2016). This phenomenon could have an extremely drying effect. Demodex has been a recent discovery for the role of microbes in developing rosacea. They have been found in higher volumes of individuals with rosace</w:t>
      </w:r>
      <w:r w:rsidR="727D4B6E" w:rsidRPr="007C4EE8">
        <w:rPr>
          <w:sz w:val="24"/>
          <w:szCs w:val="24"/>
          <w:lang w:val="en-US"/>
        </w:rPr>
        <w:t>a</w:t>
      </w:r>
      <w:r w:rsidRPr="007C4EE8">
        <w:rPr>
          <w:sz w:val="24"/>
          <w:szCs w:val="24"/>
          <w:lang w:val="en-US"/>
        </w:rPr>
        <w:t xml:space="preserve"> and </w:t>
      </w:r>
      <w:r w:rsidR="60BB175B" w:rsidRPr="007C4EE8">
        <w:rPr>
          <w:sz w:val="24"/>
          <w:szCs w:val="24"/>
          <w:lang w:val="en-US"/>
        </w:rPr>
        <w:t>are</w:t>
      </w:r>
      <w:r w:rsidRPr="007C4EE8">
        <w:rPr>
          <w:sz w:val="24"/>
          <w:szCs w:val="24"/>
          <w:lang w:val="en-US"/>
        </w:rPr>
        <w:t xml:space="preserve"> believed to be a prominent trigger for the disease.</w:t>
      </w:r>
    </w:p>
    <w:p w14:paraId="12E303A6" w14:textId="0035734A" w:rsidR="006E3DAE" w:rsidRPr="00BC781F" w:rsidRDefault="006E3DAE" w:rsidP="006E3DAE">
      <w:pPr>
        <w:pStyle w:val="Heading2"/>
        <w:rPr>
          <w:sz w:val="24"/>
          <w:szCs w:val="24"/>
          <w:lang w:val="en-US"/>
        </w:rPr>
      </w:pPr>
      <w:bookmarkStart w:id="6" w:name="_Toc171010342"/>
      <w:r w:rsidRPr="00BC781F">
        <w:rPr>
          <w:sz w:val="24"/>
          <w:szCs w:val="24"/>
          <w:lang w:val="en-US"/>
        </w:rPr>
        <w:t>Demodex</w:t>
      </w:r>
      <w:r w:rsidR="00BC781F">
        <w:rPr>
          <w:sz w:val="24"/>
          <w:szCs w:val="24"/>
          <w:lang w:val="en-US"/>
        </w:rPr>
        <w:t xml:space="preserve"> </w:t>
      </w:r>
      <w:proofErr w:type="spellStart"/>
      <w:r w:rsidR="00BC781F">
        <w:rPr>
          <w:sz w:val="24"/>
          <w:szCs w:val="24"/>
          <w:lang w:val="en-US"/>
        </w:rPr>
        <w:t>Folliculorum</w:t>
      </w:r>
      <w:bookmarkEnd w:id="6"/>
      <w:proofErr w:type="spellEnd"/>
    </w:p>
    <w:p w14:paraId="74283717" w14:textId="7805D5AB" w:rsidR="3E1D1CAD" w:rsidRPr="007C4EE8" w:rsidRDefault="3E1D1CAD" w:rsidP="007C4EE8">
      <w:pPr>
        <w:spacing w:before="240" w:line="480" w:lineRule="auto"/>
        <w:ind w:firstLine="720"/>
        <w:rPr>
          <w:sz w:val="24"/>
          <w:szCs w:val="24"/>
          <w:lang w:val="en-US"/>
        </w:rPr>
      </w:pPr>
      <w:r w:rsidRPr="007C4EE8">
        <w:rPr>
          <w:sz w:val="24"/>
          <w:szCs w:val="24"/>
          <w:lang w:val="en-US"/>
        </w:rPr>
        <w:t xml:space="preserve">Demodex mites, also known as demodex </w:t>
      </w:r>
      <w:proofErr w:type="spellStart"/>
      <w:r w:rsidRPr="007C4EE8">
        <w:rPr>
          <w:sz w:val="24"/>
          <w:szCs w:val="24"/>
          <w:lang w:val="en-US"/>
        </w:rPr>
        <w:t>folliculorum</w:t>
      </w:r>
      <w:proofErr w:type="spellEnd"/>
      <w:r w:rsidRPr="007C4EE8">
        <w:rPr>
          <w:sz w:val="24"/>
          <w:szCs w:val="24"/>
          <w:lang w:val="en-US"/>
        </w:rPr>
        <w:t>, can be found on the skin of many individuals commonly. The demodex species typically hold</w:t>
      </w:r>
      <w:r w:rsidR="5E818FBD" w:rsidRPr="007C4EE8">
        <w:rPr>
          <w:sz w:val="24"/>
          <w:szCs w:val="24"/>
          <w:lang w:val="en-US"/>
        </w:rPr>
        <w:t>s</w:t>
      </w:r>
      <w:r w:rsidRPr="007C4EE8">
        <w:rPr>
          <w:sz w:val="24"/>
          <w:szCs w:val="24"/>
          <w:lang w:val="en-US"/>
        </w:rPr>
        <w:t xml:space="preserve"> residence in the hair follicle in regions like the chin and cheek areas. Demodex species are not confined within any specific racial groups. Around 80%</w:t>
      </w:r>
      <w:r w:rsidR="0B7E0965" w:rsidRPr="007C4EE8">
        <w:rPr>
          <w:sz w:val="24"/>
          <w:szCs w:val="24"/>
          <w:lang w:val="en-US"/>
        </w:rPr>
        <w:t xml:space="preserve"> to </w:t>
      </w:r>
      <w:r w:rsidRPr="007C4EE8">
        <w:rPr>
          <w:sz w:val="24"/>
          <w:szCs w:val="24"/>
          <w:lang w:val="en-US"/>
        </w:rPr>
        <w:t xml:space="preserve">90% of the population are infected by this </w:t>
      </w:r>
      <w:r w:rsidR="35721928" w:rsidRPr="007C4EE8">
        <w:rPr>
          <w:sz w:val="24"/>
          <w:szCs w:val="24"/>
          <w:lang w:val="en-US"/>
        </w:rPr>
        <w:t>species</w:t>
      </w:r>
      <w:r w:rsidRPr="007C4EE8">
        <w:rPr>
          <w:sz w:val="24"/>
          <w:szCs w:val="24"/>
          <w:lang w:val="en-US"/>
        </w:rPr>
        <w:t xml:space="preserve"> (</w:t>
      </w:r>
      <w:proofErr w:type="spellStart"/>
      <w:r w:rsidRPr="007C4EE8">
        <w:rPr>
          <w:sz w:val="24"/>
          <w:szCs w:val="24"/>
          <w:lang w:val="en-US"/>
        </w:rPr>
        <w:t>Enginyurt</w:t>
      </w:r>
      <w:proofErr w:type="spellEnd"/>
      <w:r w:rsidRPr="007C4EE8">
        <w:rPr>
          <w:sz w:val="24"/>
          <w:szCs w:val="24"/>
          <w:lang w:val="en-US"/>
        </w:rPr>
        <w:t xml:space="preserve">, </w:t>
      </w:r>
      <w:proofErr w:type="spellStart"/>
      <w:r w:rsidRPr="007C4EE8">
        <w:rPr>
          <w:sz w:val="24"/>
          <w:szCs w:val="24"/>
          <w:lang w:val="en-US"/>
        </w:rPr>
        <w:t>Karaman</w:t>
      </w:r>
      <w:proofErr w:type="spellEnd"/>
      <w:r w:rsidRPr="007C4EE8">
        <w:rPr>
          <w:sz w:val="24"/>
          <w:szCs w:val="24"/>
          <w:lang w:val="en-US"/>
        </w:rPr>
        <w:t xml:space="preserve"> et al. 2015). The specific impact on individuals with </w:t>
      </w:r>
      <w:bookmarkStart w:id="7" w:name="_Int_Y8PSdmxU"/>
      <w:r w:rsidRPr="007C4EE8">
        <w:rPr>
          <w:sz w:val="24"/>
          <w:szCs w:val="24"/>
          <w:lang w:val="en-US"/>
        </w:rPr>
        <w:t>skin of</w:t>
      </w:r>
      <w:bookmarkEnd w:id="7"/>
      <w:r w:rsidRPr="007C4EE8">
        <w:rPr>
          <w:sz w:val="24"/>
          <w:szCs w:val="24"/>
          <w:lang w:val="en-US"/>
        </w:rPr>
        <w:t xml:space="preserve"> color remains understudied. In high densities and overpopulation, demodex mites can assume a pathogenic role (</w:t>
      </w:r>
      <w:proofErr w:type="spellStart"/>
      <w:r w:rsidRPr="007C4EE8">
        <w:rPr>
          <w:sz w:val="24"/>
          <w:szCs w:val="24"/>
          <w:lang w:val="en-US"/>
        </w:rPr>
        <w:t>Aktas</w:t>
      </w:r>
      <w:proofErr w:type="spellEnd"/>
      <w:r w:rsidRPr="007C4EE8">
        <w:rPr>
          <w:sz w:val="24"/>
          <w:szCs w:val="24"/>
          <w:lang w:val="en-US"/>
        </w:rPr>
        <w:t xml:space="preserve"> </w:t>
      </w:r>
      <w:proofErr w:type="spellStart"/>
      <w:r w:rsidRPr="007C4EE8">
        <w:rPr>
          <w:sz w:val="24"/>
          <w:szCs w:val="24"/>
          <w:lang w:val="en-US"/>
        </w:rPr>
        <w:t>Karabay</w:t>
      </w:r>
      <w:proofErr w:type="spellEnd"/>
      <w:r w:rsidRPr="007C4EE8">
        <w:rPr>
          <w:sz w:val="24"/>
          <w:szCs w:val="24"/>
          <w:lang w:val="en-US"/>
        </w:rPr>
        <w:t xml:space="preserve">, Aksu </w:t>
      </w:r>
      <w:proofErr w:type="spellStart"/>
      <w:r w:rsidRPr="007C4EE8">
        <w:rPr>
          <w:sz w:val="24"/>
          <w:szCs w:val="24"/>
          <w:lang w:val="en-US"/>
        </w:rPr>
        <w:t>Cerman</w:t>
      </w:r>
      <w:proofErr w:type="spellEnd"/>
      <w:r w:rsidRPr="007C4EE8">
        <w:rPr>
          <w:sz w:val="24"/>
          <w:szCs w:val="24"/>
          <w:lang w:val="en-US"/>
        </w:rPr>
        <w:t xml:space="preserve"> 2020). </w:t>
      </w:r>
      <w:r w:rsidR="6D149D23" w:rsidRPr="007C4EE8">
        <w:rPr>
          <w:sz w:val="24"/>
          <w:szCs w:val="24"/>
          <w:lang w:val="en-US"/>
        </w:rPr>
        <w:t>Pathogenically, demodex mites can cause autoimmune responses like inducing dendritic cell immunotolerance (</w:t>
      </w:r>
      <w:proofErr w:type="spellStart"/>
      <w:r w:rsidR="6D149D23" w:rsidRPr="007C4EE8">
        <w:rPr>
          <w:sz w:val="24"/>
          <w:szCs w:val="24"/>
          <w:lang w:val="en-US"/>
        </w:rPr>
        <w:t>Forton</w:t>
      </w:r>
      <w:proofErr w:type="spellEnd"/>
      <w:r w:rsidR="6D149D23" w:rsidRPr="007C4EE8">
        <w:rPr>
          <w:sz w:val="24"/>
          <w:szCs w:val="24"/>
          <w:lang w:val="en-US"/>
        </w:rPr>
        <w:t xml:space="preserve"> 2020). </w:t>
      </w:r>
      <w:r w:rsidR="79388467" w:rsidRPr="007C4EE8">
        <w:rPr>
          <w:sz w:val="24"/>
          <w:szCs w:val="24"/>
          <w:lang w:val="en-US"/>
        </w:rPr>
        <w:t>This microbial community can be influenced by diet, environment, and genetics.</w:t>
      </w:r>
      <w:r w:rsidRPr="007C4EE8">
        <w:rPr>
          <w:sz w:val="24"/>
          <w:szCs w:val="24"/>
          <w:lang w:val="en-US"/>
        </w:rPr>
        <w:t xml:space="preserve"> </w:t>
      </w:r>
      <w:r w:rsidR="4E0B7EC7" w:rsidRPr="007C4EE8">
        <w:rPr>
          <w:sz w:val="24"/>
          <w:szCs w:val="24"/>
          <w:lang w:val="en-US"/>
        </w:rPr>
        <w:t>These factors can predispose individuals to host larger populations of these mites.</w:t>
      </w:r>
      <w:r w:rsidRPr="007C4EE8">
        <w:rPr>
          <w:sz w:val="24"/>
          <w:szCs w:val="24"/>
          <w:lang w:val="en-US"/>
        </w:rPr>
        <w:t xml:space="preserve"> Demodex infestation presents an intriguing area for exploration, particularly in understanding why certain individuals may host larger populations of these mites based on their genetic makeup.</w:t>
      </w:r>
      <w:r w:rsidR="2DE55059" w:rsidRPr="007C4EE8">
        <w:rPr>
          <w:sz w:val="24"/>
          <w:szCs w:val="24"/>
          <w:lang w:val="en-US"/>
        </w:rPr>
        <w:t xml:space="preserve"> </w:t>
      </w:r>
      <w:r w:rsidR="253C1B03" w:rsidRPr="007C4EE8">
        <w:rPr>
          <w:sz w:val="24"/>
          <w:szCs w:val="24"/>
          <w:lang w:val="en-US"/>
        </w:rPr>
        <w:t xml:space="preserve"> </w:t>
      </w:r>
      <w:r w:rsidR="210C6883" w:rsidRPr="007C4EE8">
        <w:rPr>
          <w:sz w:val="24"/>
          <w:szCs w:val="24"/>
          <w:lang w:val="en-US"/>
        </w:rPr>
        <w:t xml:space="preserve">Factors like </w:t>
      </w:r>
      <w:r w:rsidR="5880080C" w:rsidRPr="007C4EE8">
        <w:rPr>
          <w:sz w:val="24"/>
          <w:szCs w:val="24"/>
          <w:lang w:val="en-US"/>
        </w:rPr>
        <w:t>immunosuppression</w:t>
      </w:r>
      <w:r w:rsidR="210C6883" w:rsidRPr="007C4EE8">
        <w:rPr>
          <w:sz w:val="24"/>
          <w:szCs w:val="24"/>
          <w:lang w:val="en-US"/>
        </w:rPr>
        <w:t xml:space="preserve">, diabetes and vasodilatory-related health concerns create a </w:t>
      </w:r>
      <w:r w:rsidR="0A2A1B02" w:rsidRPr="007C4EE8">
        <w:rPr>
          <w:sz w:val="24"/>
          <w:szCs w:val="24"/>
          <w:lang w:val="en-US"/>
        </w:rPr>
        <w:t>favorable</w:t>
      </w:r>
      <w:r w:rsidR="210C6883" w:rsidRPr="007C4EE8">
        <w:rPr>
          <w:sz w:val="24"/>
          <w:szCs w:val="24"/>
          <w:lang w:val="en-US"/>
        </w:rPr>
        <w:t xml:space="preserve"> environment for </w:t>
      </w:r>
      <w:r w:rsidR="640F10AA" w:rsidRPr="007C4EE8">
        <w:rPr>
          <w:sz w:val="24"/>
          <w:szCs w:val="24"/>
          <w:lang w:val="en-US"/>
        </w:rPr>
        <w:t>demodex mite proliferation</w:t>
      </w:r>
      <w:r w:rsidR="3F638624" w:rsidRPr="007C4EE8">
        <w:rPr>
          <w:sz w:val="24"/>
          <w:szCs w:val="24"/>
          <w:lang w:val="en-US"/>
        </w:rPr>
        <w:t xml:space="preserve"> (</w:t>
      </w:r>
      <w:proofErr w:type="spellStart"/>
      <w:r w:rsidR="3F638624" w:rsidRPr="007C4EE8">
        <w:rPr>
          <w:sz w:val="24"/>
          <w:szCs w:val="24"/>
          <w:lang w:val="en-US"/>
        </w:rPr>
        <w:t>Forton</w:t>
      </w:r>
      <w:proofErr w:type="spellEnd"/>
      <w:r w:rsidR="3F638624" w:rsidRPr="007C4EE8">
        <w:rPr>
          <w:sz w:val="24"/>
          <w:szCs w:val="24"/>
          <w:lang w:val="en-US"/>
        </w:rPr>
        <w:t xml:space="preserve"> 2020)</w:t>
      </w:r>
      <w:r w:rsidR="640F10AA" w:rsidRPr="007C4EE8">
        <w:rPr>
          <w:sz w:val="24"/>
          <w:szCs w:val="24"/>
          <w:lang w:val="en-US"/>
        </w:rPr>
        <w:t>.</w:t>
      </w:r>
      <w:r w:rsidR="33CCB96B" w:rsidRPr="007C4EE8">
        <w:rPr>
          <w:sz w:val="24"/>
          <w:szCs w:val="24"/>
          <w:lang w:val="en-US"/>
        </w:rPr>
        <w:t xml:space="preserve"> </w:t>
      </w:r>
      <w:r w:rsidR="5A6FD7F4" w:rsidRPr="007C4EE8">
        <w:rPr>
          <w:sz w:val="24"/>
          <w:szCs w:val="24"/>
          <w:lang w:val="en-US"/>
        </w:rPr>
        <w:t>While specific demographic data on Demodex prevalence among people of color is limited, it can be inferred that these individuals may have higher mite populations given the increased prevalence of these contributing factors in their populations.</w:t>
      </w:r>
      <w:r w:rsidR="5991BE63" w:rsidRPr="007C4EE8">
        <w:rPr>
          <w:sz w:val="24"/>
          <w:szCs w:val="24"/>
          <w:lang w:val="en-US"/>
        </w:rPr>
        <w:t xml:space="preserve"> </w:t>
      </w:r>
      <w:r w:rsidR="4BCE0A7C" w:rsidRPr="007C4EE8">
        <w:rPr>
          <w:sz w:val="24"/>
          <w:szCs w:val="24"/>
          <w:lang w:val="en-US"/>
        </w:rPr>
        <w:t>T</w:t>
      </w:r>
      <w:r w:rsidR="5991BE63" w:rsidRPr="007C4EE8">
        <w:rPr>
          <w:sz w:val="24"/>
          <w:szCs w:val="24"/>
          <w:lang w:val="en-US"/>
        </w:rPr>
        <w:t xml:space="preserve">he black population has </w:t>
      </w:r>
      <w:r w:rsidR="5991BE63" w:rsidRPr="007C4EE8">
        <w:rPr>
          <w:sz w:val="24"/>
          <w:szCs w:val="24"/>
          <w:lang w:val="en-US"/>
        </w:rPr>
        <w:lastRenderedPageBreak/>
        <w:t>higher rates of</w:t>
      </w:r>
      <w:r w:rsidR="407490D1" w:rsidRPr="007C4EE8">
        <w:rPr>
          <w:sz w:val="24"/>
          <w:szCs w:val="24"/>
          <w:lang w:val="en-US"/>
        </w:rPr>
        <w:t xml:space="preserve"> diabetes and hypertension</w:t>
      </w:r>
      <w:r w:rsidR="4C548071" w:rsidRPr="007C4EE8">
        <w:rPr>
          <w:sz w:val="24"/>
          <w:szCs w:val="24"/>
          <w:lang w:val="en-US"/>
        </w:rPr>
        <w:t xml:space="preserve"> (Harvard School of Public Health)</w:t>
      </w:r>
      <w:r w:rsidR="407490D1" w:rsidRPr="007C4EE8">
        <w:rPr>
          <w:sz w:val="24"/>
          <w:szCs w:val="24"/>
          <w:lang w:val="en-US"/>
        </w:rPr>
        <w:t>.</w:t>
      </w:r>
      <w:r w:rsidR="382C69DD" w:rsidRPr="007C4EE8">
        <w:rPr>
          <w:sz w:val="24"/>
          <w:szCs w:val="24"/>
          <w:lang w:val="en-US"/>
        </w:rPr>
        <w:t xml:space="preserve"> </w:t>
      </w:r>
      <w:r w:rsidR="48654BBF" w:rsidRPr="007C4EE8">
        <w:rPr>
          <w:sz w:val="24"/>
          <w:szCs w:val="24"/>
          <w:lang w:val="en-US"/>
        </w:rPr>
        <w:t xml:space="preserve">In recent research, demodex mites are considered a trigger of rosacea. </w:t>
      </w:r>
      <w:r w:rsidR="0457BCF8" w:rsidRPr="007C4EE8">
        <w:rPr>
          <w:sz w:val="24"/>
          <w:szCs w:val="24"/>
          <w:lang w:val="en-US"/>
        </w:rPr>
        <w:t xml:space="preserve">In research presented in the Dermatology and Therapy Journal, </w:t>
      </w:r>
      <w:r w:rsidR="54343FF6" w:rsidRPr="007C4EE8">
        <w:rPr>
          <w:sz w:val="24"/>
          <w:szCs w:val="24"/>
          <w:lang w:val="en-US"/>
        </w:rPr>
        <w:t>d</w:t>
      </w:r>
      <w:r w:rsidR="0457BCF8" w:rsidRPr="007C4EE8">
        <w:rPr>
          <w:sz w:val="24"/>
          <w:szCs w:val="24"/>
          <w:lang w:val="en-US"/>
        </w:rPr>
        <w:t>emodex proliferation in several ty</w:t>
      </w:r>
      <w:r w:rsidR="4ADEF49A" w:rsidRPr="007C4EE8">
        <w:rPr>
          <w:sz w:val="24"/>
          <w:szCs w:val="24"/>
          <w:lang w:val="en-US"/>
        </w:rPr>
        <w:t xml:space="preserve">pes of rosacea </w:t>
      </w:r>
      <w:r w:rsidR="294991A5" w:rsidRPr="007C4EE8">
        <w:rPr>
          <w:sz w:val="24"/>
          <w:szCs w:val="24"/>
          <w:lang w:val="en-US"/>
        </w:rPr>
        <w:t>has</w:t>
      </w:r>
      <w:r w:rsidR="4ADEF49A" w:rsidRPr="007C4EE8">
        <w:rPr>
          <w:sz w:val="24"/>
          <w:szCs w:val="24"/>
          <w:lang w:val="en-US"/>
        </w:rPr>
        <w:t xml:space="preserve"> high prevalence</w:t>
      </w:r>
      <w:r w:rsidR="2EEB1C2D" w:rsidRPr="007C4EE8">
        <w:rPr>
          <w:sz w:val="24"/>
          <w:szCs w:val="24"/>
          <w:lang w:val="en-US"/>
        </w:rPr>
        <w:t xml:space="preserve"> (See Figure 3)</w:t>
      </w:r>
      <w:r w:rsidR="4ADEF49A" w:rsidRPr="007C4EE8">
        <w:rPr>
          <w:sz w:val="24"/>
          <w:szCs w:val="24"/>
          <w:lang w:val="en-US"/>
        </w:rPr>
        <w:t>.</w:t>
      </w:r>
      <w:r w:rsidR="3CE87567" w:rsidRPr="007C4EE8">
        <w:rPr>
          <w:sz w:val="24"/>
          <w:szCs w:val="24"/>
          <w:lang w:val="en-US"/>
        </w:rPr>
        <w:t xml:space="preserve"> The connection between contributing factors of rosacea and demodex mite proliferation are directly related.</w:t>
      </w:r>
      <w:r w:rsidR="48654BBF" w:rsidRPr="007C4EE8">
        <w:rPr>
          <w:sz w:val="24"/>
          <w:szCs w:val="24"/>
          <w:lang w:val="en-US"/>
        </w:rPr>
        <w:t xml:space="preserve"> </w:t>
      </w:r>
      <w:r w:rsidRPr="007C4EE8">
        <w:rPr>
          <w:sz w:val="24"/>
          <w:szCs w:val="24"/>
          <w:lang w:val="en-US"/>
        </w:rPr>
        <w:t xml:space="preserve">Addressing knowledge gaps </w:t>
      </w:r>
      <w:r w:rsidR="2C31D5C9" w:rsidRPr="007C4EE8">
        <w:rPr>
          <w:sz w:val="24"/>
          <w:szCs w:val="24"/>
          <w:lang w:val="en-US"/>
        </w:rPr>
        <w:t xml:space="preserve">for skin of color </w:t>
      </w:r>
      <w:r w:rsidR="2D22258A" w:rsidRPr="007C4EE8">
        <w:rPr>
          <w:sz w:val="24"/>
          <w:szCs w:val="24"/>
          <w:lang w:val="en-US"/>
        </w:rPr>
        <w:t xml:space="preserve">in relation to demodex </w:t>
      </w:r>
      <w:r w:rsidRPr="007C4EE8">
        <w:rPr>
          <w:sz w:val="24"/>
          <w:szCs w:val="24"/>
          <w:lang w:val="en-US"/>
        </w:rPr>
        <w:t>is crucial for developing targeted interventions and treatment strategies tailored to individuals who may be disproportionately affected by Demodex infestations.</w:t>
      </w:r>
      <w:r w:rsidR="6CBF5D8E" w:rsidRPr="007C4EE8">
        <w:rPr>
          <w:sz w:val="24"/>
          <w:szCs w:val="24"/>
          <w:lang w:val="en-US"/>
        </w:rPr>
        <w:t xml:space="preserve"> Moreover, the role of dietary factors, environmental influences, and genetic predispositions in shaping Demodex populations requires further investigation, especially in diverse communities.</w:t>
      </w:r>
    </w:p>
    <w:p w14:paraId="73D1F39C" w14:textId="5DF9F342" w:rsidR="4EFB5ABC" w:rsidRPr="007C4EE8" w:rsidRDefault="4EFB5ABC" w:rsidP="007C4EE8">
      <w:pPr>
        <w:spacing w:line="480" w:lineRule="auto"/>
        <w:rPr>
          <w:sz w:val="24"/>
          <w:szCs w:val="24"/>
        </w:rPr>
      </w:pPr>
    </w:p>
    <w:p w14:paraId="797CA110" w14:textId="3234947E" w:rsidR="41938F6E" w:rsidRPr="007C4EE8" w:rsidRDefault="41938F6E" w:rsidP="007C4EE8">
      <w:pPr>
        <w:spacing w:before="240" w:line="480" w:lineRule="auto"/>
        <w:ind w:firstLine="720"/>
        <w:rPr>
          <w:sz w:val="24"/>
          <w:szCs w:val="24"/>
        </w:rPr>
      </w:pPr>
      <w:r w:rsidRPr="007C4EE8">
        <w:rPr>
          <w:noProof/>
          <w:sz w:val="24"/>
          <w:szCs w:val="24"/>
        </w:rPr>
        <w:drawing>
          <wp:inline distT="0" distB="0" distL="0" distR="0" wp14:anchorId="2BC4D480" wp14:editId="5AC085E0">
            <wp:extent cx="4597636" cy="2768742"/>
            <wp:effectExtent l="0" t="0" r="0" b="0"/>
            <wp:docPr id="1251771279" name="Picture 125177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97636" cy="2768742"/>
                    </a:xfrm>
                    <a:prstGeom prst="rect">
                      <a:avLst/>
                    </a:prstGeom>
                  </pic:spPr>
                </pic:pic>
              </a:graphicData>
            </a:graphic>
          </wp:inline>
        </w:drawing>
      </w:r>
    </w:p>
    <w:p w14:paraId="63C076EE" w14:textId="16BA0EF8" w:rsidR="41938F6E" w:rsidRPr="007C4EE8" w:rsidRDefault="41938F6E" w:rsidP="007C4EE8">
      <w:pPr>
        <w:spacing w:line="480" w:lineRule="auto"/>
        <w:rPr>
          <w:sz w:val="24"/>
          <w:szCs w:val="24"/>
        </w:rPr>
      </w:pPr>
      <w:r w:rsidRPr="007C4EE8">
        <w:rPr>
          <w:b/>
          <w:bCs/>
          <w:sz w:val="24"/>
          <w:szCs w:val="24"/>
        </w:rPr>
        <w:t>Figure 3.</w:t>
      </w:r>
      <w:r w:rsidRPr="007C4EE8">
        <w:rPr>
          <w:sz w:val="24"/>
          <w:szCs w:val="24"/>
        </w:rPr>
        <w:t xml:space="preserve"> Demodex in Rosacea Prevalence based on stud</w:t>
      </w:r>
      <w:r w:rsidR="6D5AE893" w:rsidRPr="007C4EE8">
        <w:rPr>
          <w:sz w:val="24"/>
          <w:szCs w:val="24"/>
        </w:rPr>
        <w:t>ies</w:t>
      </w:r>
      <w:r w:rsidRPr="007C4EE8">
        <w:rPr>
          <w:sz w:val="24"/>
          <w:szCs w:val="24"/>
        </w:rPr>
        <w:t xml:space="preserve"> from dermatological outpatient studies reporting </w:t>
      </w:r>
      <w:r w:rsidR="00B4F81D" w:rsidRPr="007C4EE8">
        <w:rPr>
          <w:sz w:val="24"/>
          <w:szCs w:val="24"/>
        </w:rPr>
        <w:t xml:space="preserve">demodex </w:t>
      </w:r>
      <w:r w:rsidRPr="007C4EE8">
        <w:rPr>
          <w:sz w:val="24"/>
          <w:szCs w:val="24"/>
        </w:rPr>
        <w:t>prevalence of rosacea.</w:t>
      </w:r>
    </w:p>
    <w:p w14:paraId="521CD23E" w14:textId="0C923F1B" w:rsidR="3E1D1CAD" w:rsidRDefault="3E1D1CAD" w:rsidP="00A45A56">
      <w:pPr>
        <w:pStyle w:val="Heading1"/>
        <w:rPr>
          <w:b/>
          <w:bCs/>
          <w:sz w:val="24"/>
          <w:szCs w:val="24"/>
        </w:rPr>
      </w:pPr>
      <w:bookmarkStart w:id="8" w:name="_Toc171010343"/>
      <w:r w:rsidRPr="00A45A56">
        <w:rPr>
          <w:b/>
          <w:bCs/>
          <w:sz w:val="24"/>
          <w:szCs w:val="24"/>
        </w:rPr>
        <w:lastRenderedPageBreak/>
        <w:t>Detection Methods</w:t>
      </w:r>
      <w:bookmarkEnd w:id="8"/>
    </w:p>
    <w:p w14:paraId="59836F71" w14:textId="72EA30EB" w:rsidR="00BC781F" w:rsidRPr="00BC781F" w:rsidRDefault="00BC781F" w:rsidP="00BC781F">
      <w:pPr>
        <w:pStyle w:val="Heading2"/>
        <w:rPr>
          <w:sz w:val="24"/>
          <w:szCs w:val="24"/>
        </w:rPr>
      </w:pPr>
      <w:bookmarkStart w:id="9" w:name="_Toc171010344"/>
      <w:r w:rsidRPr="00BC781F">
        <w:rPr>
          <w:sz w:val="24"/>
          <w:szCs w:val="24"/>
        </w:rPr>
        <w:t>Standard</w:t>
      </w:r>
      <w:r w:rsidR="00374968">
        <w:rPr>
          <w:sz w:val="24"/>
          <w:szCs w:val="24"/>
        </w:rPr>
        <w:t>s</w:t>
      </w:r>
      <w:bookmarkEnd w:id="9"/>
    </w:p>
    <w:p w14:paraId="187B37AE" w14:textId="2AAF1AD9" w:rsidR="3E1D1CAD" w:rsidRPr="007C4EE8" w:rsidRDefault="3E1D1CAD" w:rsidP="007C4EE8">
      <w:pPr>
        <w:spacing w:line="480" w:lineRule="auto"/>
        <w:ind w:firstLine="720"/>
        <w:rPr>
          <w:sz w:val="24"/>
          <w:szCs w:val="24"/>
          <w:lang w:val="en-US"/>
        </w:rPr>
      </w:pPr>
      <w:r w:rsidRPr="007C4EE8">
        <w:rPr>
          <w:sz w:val="24"/>
          <w:szCs w:val="24"/>
          <w:lang w:val="en-US"/>
        </w:rPr>
        <w:t xml:space="preserve">Clinical examination of the skin barrier by a dermatologist or healthcare provider must be performed to diagnose rosacea. The examination is an array of medical history surveying, symptom assessment, and a physical examination of the skin. </w:t>
      </w:r>
      <w:r w:rsidR="3F736CCE" w:rsidRPr="007C4EE8">
        <w:rPr>
          <w:sz w:val="24"/>
          <w:szCs w:val="24"/>
          <w:lang w:val="en-US"/>
        </w:rPr>
        <w:t>Detection methods for rosacea in individuals with darker pigmented skin require attention due to the potential variations in presentation.</w:t>
      </w:r>
      <w:r w:rsidRPr="007C4EE8">
        <w:rPr>
          <w:sz w:val="24"/>
          <w:szCs w:val="24"/>
          <w:lang w:val="en-US"/>
        </w:rPr>
        <w:t xml:space="preserve"> As mentioned previously, </w:t>
      </w:r>
      <w:proofErr w:type="spellStart"/>
      <w:r w:rsidRPr="007C4EE8">
        <w:rPr>
          <w:sz w:val="24"/>
          <w:szCs w:val="24"/>
          <w:lang w:val="en-US"/>
        </w:rPr>
        <w:t>centrofacial</w:t>
      </w:r>
      <w:proofErr w:type="spellEnd"/>
      <w:r w:rsidRPr="007C4EE8">
        <w:rPr>
          <w:sz w:val="24"/>
          <w:szCs w:val="24"/>
          <w:lang w:val="en-US"/>
        </w:rPr>
        <w:t xml:space="preserve"> erythema, flushing, papules, pustules, and telangiectasia are the common symptoms that indicate rosacea of the skin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 The National Rosacea Society and The American Academy of Dermatology are key organizations relied upon to stay updated on the criteria for specific clinical features indicative to rosacea. Skin biopsies may be performed in some cases to eliminate other skin conditions with similar symptoms as rosacea. There is a phenotypic approach proposed by the global </w:t>
      </w:r>
      <w:proofErr w:type="spellStart"/>
      <w:r w:rsidRPr="007C4EE8">
        <w:rPr>
          <w:sz w:val="24"/>
          <w:szCs w:val="24"/>
          <w:lang w:val="en-US"/>
        </w:rPr>
        <w:t>ROScea</w:t>
      </w:r>
      <w:proofErr w:type="spellEnd"/>
      <w:r w:rsidRPr="007C4EE8">
        <w:rPr>
          <w:sz w:val="24"/>
          <w:szCs w:val="24"/>
          <w:lang w:val="en-US"/>
        </w:rPr>
        <w:t xml:space="preserve"> </w:t>
      </w:r>
      <w:proofErr w:type="spellStart"/>
      <w:r w:rsidRPr="007C4EE8">
        <w:rPr>
          <w:sz w:val="24"/>
          <w:szCs w:val="24"/>
          <w:lang w:val="en-US"/>
        </w:rPr>
        <w:t>COnsensus</w:t>
      </w:r>
      <w:proofErr w:type="spellEnd"/>
      <w:r w:rsidRPr="007C4EE8">
        <w:rPr>
          <w:sz w:val="24"/>
          <w:szCs w:val="24"/>
          <w:lang w:val="en-US"/>
        </w:rPr>
        <w:t xml:space="preserve"> panel based on the </w:t>
      </w:r>
      <w:r w:rsidR="0FE05B93" w:rsidRPr="007C4EE8">
        <w:rPr>
          <w:sz w:val="24"/>
          <w:szCs w:val="24"/>
          <w:lang w:val="en-US"/>
        </w:rPr>
        <w:t>patients'</w:t>
      </w:r>
      <w:r w:rsidRPr="007C4EE8">
        <w:rPr>
          <w:sz w:val="24"/>
          <w:szCs w:val="24"/>
          <w:lang w:val="en-US"/>
        </w:rPr>
        <w:t xml:space="preserve"> observable characteristics influenced by genetic or environmental factors (</w:t>
      </w:r>
      <w:proofErr w:type="spellStart"/>
      <w:r w:rsidRPr="007C4EE8">
        <w:rPr>
          <w:sz w:val="24"/>
          <w:szCs w:val="24"/>
          <w:lang w:val="en-US"/>
        </w:rPr>
        <w:t>Zuuren</w:t>
      </w:r>
      <w:proofErr w:type="spellEnd"/>
      <w:r w:rsidRPr="007C4EE8">
        <w:rPr>
          <w:sz w:val="24"/>
          <w:szCs w:val="24"/>
          <w:lang w:val="en-US"/>
        </w:rPr>
        <w:t xml:space="preserve">, Bernd W. </w:t>
      </w:r>
      <w:proofErr w:type="spellStart"/>
      <w:r w:rsidRPr="007C4EE8">
        <w:rPr>
          <w:sz w:val="24"/>
          <w:szCs w:val="24"/>
          <w:lang w:val="en-US"/>
        </w:rPr>
        <w:t>Arents</w:t>
      </w:r>
      <w:proofErr w:type="spellEnd"/>
      <w:r w:rsidRPr="007C4EE8">
        <w:rPr>
          <w:sz w:val="24"/>
          <w:szCs w:val="24"/>
          <w:lang w:val="en-US"/>
        </w:rPr>
        <w:t xml:space="preserve"> et al. 2021).</w:t>
      </w:r>
    </w:p>
    <w:p w14:paraId="2FFD059F" w14:textId="3443AFEF" w:rsidR="00BC781F" w:rsidRPr="00BC781F" w:rsidRDefault="00BC781F" w:rsidP="00BC781F">
      <w:pPr>
        <w:pStyle w:val="Heading2"/>
        <w:rPr>
          <w:sz w:val="24"/>
          <w:szCs w:val="24"/>
          <w:lang w:val="en-US"/>
        </w:rPr>
      </w:pPr>
      <w:bookmarkStart w:id="10" w:name="_Toc171010345"/>
      <w:r w:rsidRPr="00BC781F">
        <w:rPr>
          <w:sz w:val="24"/>
          <w:szCs w:val="24"/>
          <w:lang w:val="en-US"/>
        </w:rPr>
        <w:t>Recommendations</w:t>
      </w:r>
      <w:bookmarkEnd w:id="10"/>
    </w:p>
    <w:p w14:paraId="2DF4D235" w14:textId="05693403" w:rsidR="00A41127" w:rsidRPr="007C4EE8" w:rsidRDefault="6EFDAE12" w:rsidP="007C4EE8">
      <w:pPr>
        <w:spacing w:line="480" w:lineRule="auto"/>
        <w:ind w:firstLine="720"/>
        <w:rPr>
          <w:sz w:val="24"/>
          <w:szCs w:val="24"/>
          <w:lang w:val="en-US"/>
        </w:rPr>
      </w:pPr>
      <w:r w:rsidRPr="007C4EE8">
        <w:rPr>
          <w:sz w:val="24"/>
          <w:szCs w:val="24"/>
          <w:lang w:val="en-US"/>
        </w:rPr>
        <w:t>Using low predictive values as a primary detection method for rosacea is not beneficial to the disease's prevalence rates when these values are not solely indicative of rosacea (Tan, Steinhoff et al. 2016).</w:t>
      </w:r>
      <w:r w:rsidR="3E1D1CAD" w:rsidRPr="007C4EE8">
        <w:rPr>
          <w:sz w:val="24"/>
          <w:szCs w:val="24"/>
          <w:lang w:val="en-US"/>
        </w:rPr>
        <w:t xml:space="preserve"> Secondary clinical testing should be a confirmation in every diagnosis to ensure accurate statistical results. When subtyping the disease conflation of multiple features into discrete categories that do not accurately represent rosacea patients (</w:t>
      </w:r>
      <w:proofErr w:type="spellStart"/>
      <w:r w:rsidR="3E1D1CAD" w:rsidRPr="007C4EE8">
        <w:rPr>
          <w:sz w:val="24"/>
          <w:szCs w:val="24"/>
          <w:lang w:val="en-US"/>
        </w:rPr>
        <w:t>Zuuren</w:t>
      </w:r>
      <w:proofErr w:type="spellEnd"/>
      <w:r w:rsidR="3E1D1CAD" w:rsidRPr="007C4EE8">
        <w:rPr>
          <w:sz w:val="24"/>
          <w:szCs w:val="24"/>
          <w:lang w:val="en-US"/>
        </w:rPr>
        <w:t xml:space="preserve">, Bernd W. </w:t>
      </w:r>
      <w:proofErr w:type="spellStart"/>
      <w:r w:rsidR="3E1D1CAD" w:rsidRPr="007C4EE8">
        <w:rPr>
          <w:sz w:val="24"/>
          <w:szCs w:val="24"/>
          <w:lang w:val="en-US"/>
        </w:rPr>
        <w:t>Arents</w:t>
      </w:r>
      <w:proofErr w:type="spellEnd"/>
      <w:r w:rsidR="3E1D1CAD" w:rsidRPr="007C4EE8">
        <w:rPr>
          <w:sz w:val="24"/>
          <w:szCs w:val="24"/>
          <w:lang w:val="en-US"/>
        </w:rPr>
        <w:t xml:space="preserve"> et al. 2021). The use of </w:t>
      </w:r>
      <w:proofErr w:type="spellStart"/>
      <w:r w:rsidR="3E1D1CAD" w:rsidRPr="007C4EE8">
        <w:rPr>
          <w:sz w:val="24"/>
          <w:szCs w:val="24"/>
          <w:lang w:val="en-US"/>
        </w:rPr>
        <w:t>centrofacial</w:t>
      </w:r>
      <w:proofErr w:type="spellEnd"/>
      <w:r w:rsidR="3E1D1CAD" w:rsidRPr="007C4EE8">
        <w:rPr>
          <w:sz w:val="24"/>
          <w:szCs w:val="24"/>
          <w:lang w:val="en-US"/>
        </w:rPr>
        <w:t xml:space="preserve"> erythema in people of color as a </w:t>
      </w:r>
      <w:r w:rsidR="3909A19F" w:rsidRPr="007C4EE8">
        <w:rPr>
          <w:sz w:val="24"/>
          <w:szCs w:val="24"/>
          <w:lang w:val="en-US"/>
        </w:rPr>
        <w:t>primary criterion of diagnosis</w:t>
      </w:r>
      <w:r w:rsidR="3E1D1CAD" w:rsidRPr="007C4EE8">
        <w:rPr>
          <w:sz w:val="24"/>
          <w:szCs w:val="24"/>
          <w:lang w:val="en-US"/>
        </w:rPr>
        <w:t xml:space="preserve"> for rosacea is </w:t>
      </w:r>
      <w:r w:rsidR="3E1D1CAD" w:rsidRPr="007C4EE8">
        <w:rPr>
          <w:sz w:val="24"/>
          <w:szCs w:val="24"/>
          <w:lang w:val="en-US"/>
        </w:rPr>
        <w:lastRenderedPageBreak/>
        <w:t xml:space="preserve">not adequate as dark pigmented skin may be difficult to observe redness (Tan, Steinhoff et al. 2017). Therefore, </w:t>
      </w:r>
      <w:r w:rsidR="52638D47" w:rsidRPr="007C4EE8">
        <w:rPr>
          <w:sz w:val="24"/>
          <w:szCs w:val="24"/>
          <w:lang w:val="en-US"/>
        </w:rPr>
        <w:t>there is</w:t>
      </w:r>
      <w:r w:rsidR="3E1D1CAD" w:rsidRPr="007C4EE8">
        <w:rPr>
          <w:sz w:val="24"/>
          <w:szCs w:val="24"/>
          <w:lang w:val="en-US"/>
        </w:rPr>
        <w:t xml:space="preserve"> a clear necessity for developing more inclusive and reliable detection methods tailored to diverse skin types to enhance the accuracy of rosacea diagnosis and management. These detection methods have a close association with </w:t>
      </w:r>
      <w:r w:rsidR="2E25CFFA" w:rsidRPr="007C4EE8">
        <w:rPr>
          <w:sz w:val="24"/>
          <w:szCs w:val="24"/>
          <w:lang w:val="en-US"/>
        </w:rPr>
        <w:t>the prevalence</w:t>
      </w:r>
      <w:r w:rsidR="3E1D1CAD" w:rsidRPr="007C4EE8">
        <w:rPr>
          <w:sz w:val="24"/>
          <w:szCs w:val="24"/>
          <w:lang w:val="en-US"/>
        </w:rPr>
        <w:t xml:space="preserve"> of the disease. Rosacea, as of 2021, has a prevalence of 5.5% amongst the adult population (Na-Young Kang, Shah et al. 2021). However, rosacea is likely to be under-detected in darker skin types because of lack of recognition of erythema and telangiectasia.</w:t>
      </w:r>
      <w:r w:rsidR="001B699A" w:rsidRPr="007C4EE8">
        <w:rPr>
          <w:sz w:val="24"/>
          <w:szCs w:val="24"/>
          <w:lang w:val="en-US"/>
        </w:rPr>
        <w:t xml:space="preserve"> </w:t>
      </w:r>
      <w:r w:rsidR="00A41127" w:rsidRPr="007C4EE8">
        <w:rPr>
          <w:sz w:val="24"/>
          <w:szCs w:val="24"/>
        </w:rPr>
        <w:t xml:space="preserve">Detection methods for Rosacea are not </w:t>
      </w:r>
      <w:r w:rsidR="00F45D57" w:rsidRPr="007C4EE8">
        <w:rPr>
          <w:sz w:val="24"/>
          <w:szCs w:val="24"/>
        </w:rPr>
        <w:t xml:space="preserve">fully </w:t>
      </w:r>
      <w:r w:rsidR="00A41127" w:rsidRPr="007C4EE8">
        <w:rPr>
          <w:sz w:val="24"/>
          <w:szCs w:val="24"/>
        </w:rPr>
        <w:t>effective for current practice even in light</w:t>
      </w:r>
      <w:r w:rsidR="00F45D57" w:rsidRPr="007C4EE8">
        <w:rPr>
          <w:sz w:val="24"/>
          <w:szCs w:val="24"/>
        </w:rPr>
        <w:t>er</w:t>
      </w:r>
      <w:r w:rsidR="00A41127" w:rsidRPr="007C4EE8">
        <w:rPr>
          <w:sz w:val="24"/>
          <w:szCs w:val="24"/>
        </w:rPr>
        <w:t xml:space="preserve"> complexions because over overlapping symptoms with other skin conditions</w:t>
      </w:r>
      <w:r w:rsidR="00675FEC" w:rsidRPr="007C4EE8">
        <w:rPr>
          <w:sz w:val="24"/>
          <w:szCs w:val="24"/>
        </w:rPr>
        <w:t xml:space="preserve"> can lead to a misdiagnosis</w:t>
      </w:r>
      <w:r w:rsidR="00A41127" w:rsidRPr="007C4EE8">
        <w:rPr>
          <w:sz w:val="24"/>
          <w:szCs w:val="24"/>
        </w:rPr>
        <w:t xml:space="preserve">. </w:t>
      </w:r>
    </w:p>
    <w:p w14:paraId="2B7138A9" w14:textId="49EAF256" w:rsidR="3E1D1CAD" w:rsidRPr="00A45A56" w:rsidRDefault="3E1D1CAD" w:rsidP="00A45A56">
      <w:pPr>
        <w:pStyle w:val="Heading1"/>
        <w:rPr>
          <w:b/>
          <w:bCs/>
          <w:sz w:val="24"/>
          <w:szCs w:val="24"/>
        </w:rPr>
      </w:pPr>
      <w:bookmarkStart w:id="11" w:name="_Toc171010346"/>
      <w:r w:rsidRPr="00A45A56">
        <w:rPr>
          <w:b/>
          <w:bCs/>
          <w:sz w:val="24"/>
          <w:szCs w:val="24"/>
        </w:rPr>
        <w:t>Treatment</w:t>
      </w:r>
      <w:r w:rsidR="29F23B83" w:rsidRPr="00A45A56">
        <w:rPr>
          <w:b/>
          <w:bCs/>
          <w:sz w:val="24"/>
          <w:szCs w:val="24"/>
        </w:rPr>
        <w:t xml:space="preserve"> Methods</w:t>
      </w:r>
      <w:bookmarkEnd w:id="11"/>
    </w:p>
    <w:p w14:paraId="45F9996A" w14:textId="7A5136A4" w:rsidR="009D59EA" w:rsidRDefault="3E1D1CAD" w:rsidP="007C4EE8">
      <w:pPr>
        <w:spacing w:line="480" w:lineRule="auto"/>
        <w:ind w:firstLine="720"/>
        <w:rPr>
          <w:sz w:val="24"/>
          <w:szCs w:val="24"/>
          <w:lang w:val="en-US"/>
        </w:rPr>
      </w:pPr>
      <w:r w:rsidRPr="007C4EE8">
        <w:rPr>
          <w:sz w:val="24"/>
          <w:szCs w:val="24"/>
          <w:lang w:val="en-US"/>
        </w:rPr>
        <w:t xml:space="preserve">Rosacea is not a curable skin </w:t>
      </w:r>
      <w:r w:rsidR="54D66DB0" w:rsidRPr="007C4EE8">
        <w:rPr>
          <w:sz w:val="24"/>
          <w:szCs w:val="24"/>
          <w:lang w:val="en-US"/>
        </w:rPr>
        <w:t>condition;</w:t>
      </w:r>
      <w:r w:rsidRPr="007C4EE8">
        <w:rPr>
          <w:sz w:val="24"/>
          <w:szCs w:val="24"/>
          <w:lang w:val="en-US"/>
        </w:rPr>
        <w:t xml:space="preserve"> however, current treatments </w:t>
      </w:r>
      <w:r w:rsidR="0B23EAB2" w:rsidRPr="007C4EE8">
        <w:rPr>
          <w:sz w:val="24"/>
          <w:szCs w:val="24"/>
          <w:lang w:val="en-US"/>
        </w:rPr>
        <w:t>today</w:t>
      </w:r>
      <w:r w:rsidRPr="007C4EE8">
        <w:rPr>
          <w:sz w:val="24"/>
          <w:szCs w:val="24"/>
          <w:lang w:val="en-US"/>
        </w:rPr>
        <w:t xml:space="preserve"> aim to reduce and minimize the symptoms of the condition. Dermatologists recommend a combination of medications, lifestyle changes, and </w:t>
      </w:r>
      <w:r w:rsidR="5EC6A12A" w:rsidRPr="007C4EE8">
        <w:rPr>
          <w:sz w:val="24"/>
          <w:szCs w:val="24"/>
          <w:lang w:val="en-US"/>
        </w:rPr>
        <w:t>strict</w:t>
      </w:r>
      <w:r w:rsidRPr="007C4EE8">
        <w:rPr>
          <w:sz w:val="24"/>
          <w:szCs w:val="24"/>
          <w:lang w:val="en-US"/>
        </w:rPr>
        <w:t xml:space="preserve"> skincare regimens. Ultraviolet radiation is one of rosacea’s biggest triggers. Sun protection is highly recommended for daily use in your skincare regimen, however there is a risk that </w:t>
      </w:r>
      <w:r w:rsidR="4BB523F3" w:rsidRPr="007C4EE8">
        <w:rPr>
          <w:sz w:val="24"/>
          <w:szCs w:val="24"/>
          <w:lang w:val="en-US"/>
        </w:rPr>
        <w:t>sun</w:t>
      </w:r>
      <w:r w:rsidRPr="007C4EE8">
        <w:rPr>
          <w:sz w:val="24"/>
          <w:szCs w:val="24"/>
          <w:lang w:val="en-US"/>
        </w:rPr>
        <w:t xml:space="preserve"> protection like sunscreen can also irritate the skin barrier of individuals with the condition. Additionally, using gentle moisturizers and cleansers devoid of harsh ingredients, along with opting for noncomedogenic skin care products, aids in maintaining skin health and minimizing irritation. Lifestyle changes like shielding the face from harsh environmental elements such as wind and extreme temperatures and limiting spicy foods and alcohol, while actively managing stress through techniques like meditation or yoga can help mitigate symptoms. Engaging in low-intensity exercises can further reduce persistent redness </w:t>
      </w:r>
      <w:r w:rsidRPr="007C4EE8">
        <w:rPr>
          <w:sz w:val="24"/>
          <w:szCs w:val="24"/>
          <w:lang w:val="en-US"/>
        </w:rPr>
        <w:lastRenderedPageBreak/>
        <w:t xml:space="preserve">associated with rosacea, providing </w:t>
      </w:r>
      <w:r w:rsidR="7168124A" w:rsidRPr="007C4EE8">
        <w:rPr>
          <w:sz w:val="24"/>
          <w:szCs w:val="24"/>
          <w:lang w:val="en-US"/>
        </w:rPr>
        <w:t>relief,</w:t>
      </w:r>
      <w:r w:rsidRPr="007C4EE8">
        <w:rPr>
          <w:sz w:val="24"/>
          <w:szCs w:val="24"/>
          <w:lang w:val="en-US"/>
        </w:rPr>
        <w:t xml:space="preserve"> and improving overall skin condition. Metronidazole and ivermectin are common </w:t>
      </w:r>
      <w:r w:rsidR="353405BE" w:rsidRPr="007C4EE8">
        <w:rPr>
          <w:sz w:val="24"/>
          <w:szCs w:val="24"/>
          <w:lang w:val="en-US"/>
        </w:rPr>
        <w:t>anti-inflammatory</w:t>
      </w:r>
      <w:r w:rsidRPr="007C4EE8">
        <w:rPr>
          <w:sz w:val="24"/>
          <w:szCs w:val="24"/>
          <w:lang w:val="en-US"/>
        </w:rPr>
        <w:t xml:space="preserve"> topicals used to treat lesions of rosacea (Rainer, Kang et al. 2017). Topical treatments like metronidazole, azelaic acid, and ivermectin demonstrated notable efficacy compared to a placebo, when addressing papulopustular rosacea symptoms (Rainer, Kang et al. 2017</w:t>
      </w:r>
      <w:r w:rsidR="490FD224" w:rsidRPr="007C4EE8">
        <w:rPr>
          <w:sz w:val="24"/>
          <w:szCs w:val="24"/>
          <w:lang w:val="en-US"/>
        </w:rPr>
        <w:t>)</w:t>
      </w:r>
      <w:r w:rsidR="009D59EA">
        <w:rPr>
          <w:sz w:val="24"/>
          <w:szCs w:val="24"/>
          <w:lang w:val="en-US"/>
        </w:rPr>
        <w:t xml:space="preserve"> (See Table </w:t>
      </w:r>
      <w:r w:rsidR="008459C8">
        <w:rPr>
          <w:sz w:val="24"/>
          <w:szCs w:val="24"/>
          <w:lang w:val="en-US"/>
        </w:rPr>
        <w:t>3</w:t>
      </w:r>
      <w:r w:rsidR="009D59EA">
        <w:rPr>
          <w:sz w:val="24"/>
          <w:szCs w:val="24"/>
          <w:lang w:val="en-US"/>
        </w:rPr>
        <w:t>)</w:t>
      </w:r>
      <w:r w:rsidR="490FD224" w:rsidRPr="007C4EE8">
        <w:rPr>
          <w:sz w:val="24"/>
          <w:szCs w:val="24"/>
          <w:lang w:val="en-US"/>
        </w:rPr>
        <w:t>.</w:t>
      </w:r>
      <w:r w:rsidRPr="007C4EE8">
        <w:rPr>
          <w:sz w:val="24"/>
          <w:szCs w:val="24"/>
          <w:lang w:val="en-US"/>
        </w:rPr>
        <w:t xml:space="preserve"> </w:t>
      </w:r>
    </w:p>
    <w:tbl>
      <w:tblPr>
        <w:tblW w:w="10685" w:type="dxa"/>
        <w:tblInd w:w="-845" w:type="dxa"/>
        <w:tblLook w:val="04A0" w:firstRow="1" w:lastRow="0" w:firstColumn="1" w:lastColumn="0" w:noHBand="0" w:noVBand="1"/>
      </w:tblPr>
      <w:tblGrid>
        <w:gridCol w:w="1944"/>
        <w:gridCol w:w="3393"/>
        <w:gridCol w:w="5348"/>
      </w:tblGrid>
      <w:tr w:rsidR="009D59EA" w:rsidRPr="009D59EA" w14:paraId="18C1F997" w14:textId="77777777" w:rsidTr="00031839">
        <w:trPr>
          <w:trHeight w:val="624"/>
        </w:trPr>
        <w:tc>
          <w:tcPr>
            <w:tcW w:w="10685" w:type="dxa"/>
            <w:gridSpan w:val="3"/>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137F613C" w14:textId="77777777" w:rsidR="009D59EA" w:rsidRPr="009D59EA" w:rsidRDefault="009D59EA" w:rsidP="009D59EA">
            <w:pPr>
              <w:spacing w:line="240" w:lineRule="auto"/>
              <w:jc w:val="center"/>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Common Topical Therapy for Rosacea</w:t>
            </w:r>
          </w:p>
        </w:tc>
      </w:tr>
      <w:tr w:rsidR="009D59EA" w:rsidRPr="009D59EA" w14:paraId="42250891" w14:textId="77777777" w:rsidTr="00031839">
        <w:trPr>
          <w:trHeight w:val="624"/>
        </w:trPr>
        <w:tc>
          <w:tcPr>
            <w:tcW w:w="1944" w:type="dxa"/>
            <w:tcBorders>
              <w:top w:val="nil"/>
              <w:left w:val="single" w:sz="4" w:space="0" w:color="auto"/>
              <w:bottom w:val="single" w:sz="4" w:space="0" w:color="auto"/>
              <w:right w:val="single" w:sz="4" w:space="0" w:color="auto"/>
            </w:tcBorders>
            <w:shd w:val="clear" w:color="000000" w:fill="DAE9F8"/>
            <w:noWrap/>
            <w:vAlign w:val="bottom"/>
            <w:hideMark/>
          </w:tcPr>
          <w:p w14:paraId="6490D192"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Therapy</w:t>
            </w:r>
          </w:p>
        </w:tc>
        <w:tc>
          <w:tcPr>
            <w:tcW w:w="3393" w:type="dxa"/>
            <w:tcBorders>
              <w:top w:val="nil"/>
              <w:left w:val="nil"/>
              <w:bottom w:val="single" w:sz="4" w:space="0" w:color="auto"/>
              <w:right w:val="single" w:sz="4" w:space="0" w:color="auto"/>
            </w:tcBorders>
            <w:shd w:val="clear" w:color="000000" w:fill="DAE9F8"/>
            <w:noWrap/>
            <w:vAlign w:val="bottom"/>
            <w:hideMark/>
          </w:tcPr>
          <w:p w14:paraId="22C4C554"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Usage/Dosage</w:t>
            </w:r>
          </w:p>
        </w:tc>
        <w:tc>
          <w:tcPr>
            <w:tcW w:w="5346" w:type="dxa"/>
            <w:tcBorders>
              <w:top w:val="nil"/>
              <w:left w:val="nil"/>
              <w:bottom w:val="single" w:sz="4" w:space="0" w:color="auto"/>
              <w:right w:val="single" w:sz="4" w:space="0" w:color="auto"/>
            </w:tcBorders>
            <w:shd w:val="clear" w:color="000000" w:fill="DAE9F8"/>
            <w:noWrap/>
            <w:vAlign w:val="bottom"/>
            <w:hideMark/>
          </w:tcPr>
          <w:p w14:paraId="71D2E195"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Effectiveness</w:t>
            </w:r>
          </w:p>
        </w:tc>
      </w:tr>
      <w:tr w:rsidR="009D59EA" w:rsidRPr="009D59EA" w14:paraId="502E39EB"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21C66AAF"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Metronidazole</w:t>
            </w:r>
          </w:p>
        </w:tc>
        <w:tc>
          <w:tcPr>
            <w:tcW w:w="3393" w:type="dxa"/>
            <w:tcBorders>
              <w:top w:val="nil"/>
              <w:left w:val="nil"/>
              <w:bottom w:val="single" w:sz="4" w:space="0" w:color="auto"/>
              <w:right w:val="single" w:sz="4" w:space="0" w:color="auto"/>
            </w:tcBorders>
            <w:shd w:val="clear" w:color="auto" w:fill="auto"/>
            <w:noWrap/>
            <w:vAlign w:val="bottom"/>
            <w:hideMark/>
          </w:tcPr>
          <w:p w14:paraId="53F78467"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0.75%-1%, up to twice daily</w:t>
            </w:r>
          </w:p>
        </w:tc>
        <w:tc>
          <w:tcPr>
            <w:tcW w:w="5346" w:type="dxa"/>
            <w:tcBorders>
              <w:top w:val="nil"/>
              <w:left w:val="nil"/>
              <w:bottom w:val="single" w:sz="4" w:space="0" w:color="auto"/>
              <w:right w:val="single" w:sz="4" w:space="0" w:color="auto"/>
            </w:tcBorders>
            <w:shd w:val="clear" w:color="auto" w:fill="auto"/>
            <w:noWrap/>
            <w:vAlign w:val="bottom"/>
            <w:hideMark/>
          </w:tcPr>
          <w:p w14:paraId="599F5289"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 erythema</w:t>
            </w:r>
          </w:p>
        </w:tc>
      </w:tr>
      <w:tr w:rsidR="009D59EA" w:rsidRPr="009D59EA" w14:paraId="7D125C88"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1870D8A5"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Azelaic Acid</w:t>
            </w:r>
          </w:p>
        </w:tc>
        <w:tc>
          <w:tcPr>
            <w:tcW w:w="3393" w:type="dxa"/>
            <w:tcBorders>
              <w:top w:val="nil"/>
              <w:left w:val="nil"/>
              <w:bottom w:val="single" w:sz="4" w:space="0" w:color="auto"/>
              <w:right w:val="single" w:sz="4" w:space="0" w:color="auto"/>
            </w:tcBorders>
            <w:shd w:val="clear" w:color="auto" w:fill="auto"/>
            <w:noWrap/>
            <w:vAlign w:val="bottom"/>
            <w:hideMark/>
          </w:tcPr>
          <w:p w14:paraId="3C33F77A"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15%-20%, up to twice daily</w:t>
            </w:r>
          </w:p>
        </w:tc>
        <w:tc>
          <w:tcPr>
            <w:tcW w:w="5346" w:type="dxa"/>
            <w:tcBorders>
              <w:top w:val="nil"/>
              <w:left w:val="nil"/>
              <w:bottom w:val="single" w:sz="4" w:space="0" w:color="auto"/>
              <w:right w:val="single" w:sz="4" w:space="0" w:color="auto"/>
            </w:tcBorders>
            <w:shd w:val="clear" w:color="auto" w:fill="auto"/>
            <w:noWrap/>
            <w:vAlign w:val="bottom"/>
            <w:hideMark/>
          </w:tcPr>
          <w:p w14:paraId="30A9CC60"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 erythema</w:t>
            </w:r>
          </w:p>
        </w:tc>
      </w:tr>
      <w:tr w:rsidR="009D59EA" w:rsidRPr="009D59EA" w14:paraId="78B1AECE"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4474CF8F"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Ivermectin</w:t>
            </w:r>
          </w:p>
        </w:tc>
        <w:tc>
          <w:tcPr>
            <w:tcW w:w="3393" w:type="dxa"/>
            <w:tcBorders>
              <w:top w:val="nil"/>
              <w:left w:val="nil"/>
              <w:bottom w:val="single" w:sz="4" w:space="0" w:color="auto"/>
              <w:right w:val="single" w:sz="4" w:space="0" w:color="auto"/>
            </w:tcBorders>
            <w:shd w:val="clear" w:color="auto" w:fill="auto"/>
            <w:noWrap/>
            <w:vAlign w:val="bottom"/>
            <w:hideMark/>
          </w:tcPr>
          <w:p w14:paraId="504B680E"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1%, once daily</w:t>
            </w:r>
          </w:p>
        </w:tc>
        <w:tc>
          <w:tcPr>
            <w:tcW w:w="5346" w:type="dxa"/>
            <w:tcBorders>
              <w:top w:val="nil"/>
              <w:left w:val="nil"/>
              <w:bottom w:val="single" w:sz="4" w:space="0" w:color="auto"/>
              <w:right w:val="single" w:sz="4" w:space="0" w:color="auto"/>
            </w:tcBorders>
            <w:shd w:val="clear" w:color="auto" w:fill="auto"/>
            <w:noWrap/>
            <w:vAlign w:val="bottom"/>
            <w:hideMark/>
          </w:tcPr>
          <w:p w14:paraId="77E3C962"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w:t>
            </w:r>
          </w:p>
        </w:tc>
      </w:tr>
      <w:tr w:rsidR="009D59EA" w:rsidRPr="009D59EA" w14:paraId="59373973"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538C1EEE"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Benzyl peroxide</w:t>
            </w:r>
          </w:p>
        </w:tc>
        <w:tc>
          <w:tcPr>
            <w:tcW w:w="3393" w:type="dxa"/>
            <w:tcBorders>
              <w:top w:val="nil"/>
              <w:left w:val="nil"/>
              <w:bottom w:val="single" w:sz="4" w:space="0" w:color="auto"/>
              <w:right w:val="single" w:sz="4" w:space="0" w:color="auto"/>
            </w:tcBorders>
            <w:shd w:val="clear" w:color="auto" w:fill="auto"/>
            <w:noWrap/>
            <w:vAlign w:val="bottom"/>
            <w:hideMark/>
          </w:tcPr>
          <w:p w14:paraId="418B614F"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5%, up to twice daily</w:t>
            </w:r>
          </w:p>
        </w:tc>
        <w:tc>
          <w:tcPr>
            <w:tcW w:w="5346" w:type="dxa"/>
            <w:tcBorders>
              <w:top w:val="nil"/>
              <w:left w:val="nil"/>
              <w:bottom w:val="single" w:sz="4" w:space="0" w:color="auto"/>
              <w:right w:val="single" w:sz="4" w:space="0" w:color="auto"/>
            </w:tcBorders>
            <w:shd w:val="clear" w:color="auto" w:fill="auto"/>
            <w:noWrap/>
            <w:vAlign w:val="bottom"/>
            <w:hideMark/>
          </w:tcPr>
          <w:p w14:paraId="1B20ED2B"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 erythema</w:t>
            </w:r>
          </w:p>
        </w:tc>
      </w:tr>
      <w:tr w:rsidR="009D59EA" w:rsidRPr="009D59EA" w14:paraId="3D15E73B"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36A3DEC6"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Clindamycin</w:t>
            </w:r>
          </w:p>
        </w:tc>
        <w:tc>
          <w:tcPr>
            <w:tcW w:w="3393" w:type="dxa"/>
            <w:tcBorders>
              <w:top w:val="nil"/>
              <w:left w:val="nil"/>
              <w:bottom w:val="single" w:sz="4" w:space="0" w:color="auto"/>
              <w:right w:val="single" w:sz="4" w:space="0" w:color="auto"/>
            </w:tcBorders>
            <w:shd w:val="clear" w:color="auto" w:fill="auto"/>
            <w:noWrap/>
            <w:vAlign w:val="bottom"/>
            <w:hideMark/>
          </w:tcPr>
          <w:p w14:paraId="47A61E48"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1%, up to twice daily</w:t>
            </w:r>
          </w:p>
        </w:tc>
        <w:tc>
          <w:tcPr>
            <w:tcW w:w="5346" w:type="dxa"/>
            <w:tcBorders>
              <w:top w:val="nil"/>
              <w:left w:val="nil"/>
              <w:bottom w:val="single" w:sz="4" w:space="0" w:color="auto"/>
              <w:right w:val="single" w:sz="4" w:space="0" w:color="auto"/>
            </w:tcBorders>
            <w:shd w:val="clear" w:color="auto" w:fill="auto"/>
            <w:noWrap/>
            <w:vAlign w:val="bottom"/>
            <w:hideMark/>
          </w:tcPr>
          <w:p w14:paraId="4AE48D84"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w:t>
            </w:r>
          </w:p>
        </w:tc>
      </w:tr>
      <w:tr w:rsidR="009D59EA" w:rsidRPr="009D59EA" w14:paraId="5D5F42AE" w14:textId="77777777" w:rsidTr="00031839">
        <w:trPr>
          <w:trHeight w:val="624"/>
        </w:trPr>
        <w:tc>
          <w:tcPr>
            <w:tcW w:w="1944" w:type="dxa"/>
            <w:tcBorders>
              <w:top w:val="nil"/>
              <w:left w:val="single" w:sz="4" w:space="0" w:color="auto"/>
              <w:bottom w:val="single" w:sz="4" w:space="0" w:color="auto"/>
              <w:right w:val="single" w:sz="4" w:space="0" w:color="auto"/>
            </w:tcBorders>
            <w:shd w:val="clear" w:color="auto" w:fill="auto"/>
            <w:noWrap/>
            <w:vAlign w:val="bottom"/>
            <w:hideMark/>
          </w:tcPr>
          <w:p w14:paraId="0C5499F4"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Tretinoin</w:t>
            </w:r>
          </w:p>
        </w:tc>
        <w:tc>
          <w:tcPr>
            <w:tcW w:w="3393" w:type="dxa"/>
            <w:tcBorders>
              <w:top w:val="nil"/>
              <w:left w:val="nil"/>
              <w:bottom w:val="single" w:sz="4" w:space="0" w:color="auto"/>
              <w:right w:val="single" w:sz="4" w:space="0" w:color="auto"/>
            </w:tcBorders>
            <w:shd w:val="clear" w:color="auto" w:fill="auto"/>
            <w:noWrap/>
            <w:vAlign w:val="bottom"/>
            <w:hideMark/>
          </w:tcPr>
          <w:p w14:paraId="24A2DF1D"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0.025%-0.1%, once nightly</w:t>
            </w:r>
          </w:p>
        </w:tc>
        <w:tc>
          <w:tcPr>
            <w:tcW w:w="5346" w:type="dxa"/>
            <w:tcBorders>
              <w:top w:val="nil"/>
              <w:left w:val="nil"/>
              <w:bottom w:val="single" w:sz="4" w:space="0" w:color="auto"/>
              <w:right w:val="single" w:sz="4" w:space="0" w:color="auto"/>
            </w:tcBorders>
            <w:shd w:val="clear" w:color="auto" w:fill="auto"/>
            <w:noWrap/>
            <w:vAlign w:val="bottom"/>
            <w:hideMark/>
          </w:tcPr>
          <w:p w14:paraId="17561B3A" w14:textId="77777777" w:rsidR="009D59EA" w:rsidRPr="009D59EA" w:rsidRDefault="009D59EA" w:rsidP="009D59EA">
            <w:pPr>
              <w:spacing w:line="240" w:lineRule="auto"/>
              <w:rPr>
                <w:rFonts w:ascii="Aptos Narrow" w:eastAsia="Times New Roman" w:hAnsi="Aptos Narrow" w:cs="Times New Roman"/>
                <w:color w:val="000000"/>
                <w:sz w:val="24"/>
                <w:szCs w:val="24"/>
                <w:lang w:val="en-US" w:eastAsia="en-US"/>
              </w:rPr>
            </w:pPr>
            <w:r w:rsidRPr="009D59EA">
              <w:rPr>
                <w:rFonts w:ascii="Aptos Narrow" w:eastAsia="Times New Roman" w:hAnsi="Aptos Narrow" w:cs="Times New Roman"/>
                <w:color w:val="000000"/>
                <w:sz w:val="24"/>
                <w:szCs w:val="24"/>
                <w:lang w:val="en-US" w:eastAsia="en-US"/>
              </w:rPr>
              <w:t>Papules, pustules, erythema, telangiectasia</w:t>
            </w:r>
          </w:p>
        </w:tc>
      </w:tr>
    </w:tbl>
    <w:p w14:paraId="521B2CC3" w14:textId="77777777" w:rsidR="00031839" w:rsidRDefault="00031839" w:rsidP="00031839">
      <w:pPr>
        <w:spacing w:line="240" w:lineRule="auto"/>
        <w:rPr>
          <w:sz w:val="24"/>
          <w:szCs w:val="24"/>
          <w:lang w:val="en-US"/>
        </w:rPr>
      </w:pPr>
    </w:p>
    <w:p w14:paraId="761A14F7" w14:textId="2C61148F" w:rsidR="009D59EA" w:rsidRDefault="009D59EA" w:rsidP="00031839">
      <w:pPr>
        <w:spacing w:line="240" w:lineRule="auto"/>
        <w:rPr>
          <w:sz w:val="24"/>
          <w:szCs w:val="24"/>
          <w:lang w:val="en-US"/>
        </w:rPr>
      </w:pPr>
      <w:r w:rsidRPr="00031839">
        <w:rPr>
          <w:b/>
          <w:bCs/>
          <w:sz w:val="24"/>
          <w:szCs w:val="24"/>
          <w:lang w:val="en-US"/>
        </w:rPr>
        <w:t xml:space="preserve">Table </w:t>
      </w:r>
      <w:r w:rsidR="008459C8">
        <w:rPr>
          <w:b/>
          <w:bCs/>
          <w:sz w:val="24"/>
          <w:szCs w:val="24"/>
          <w:lang w:val="en-US"/>
        </w:rPr>
        <w:t>3</w:t>
      </w:r>
      <w:r w:rsidRPr="00031839">
        <w:rPr>
          <w:b/>
          <w:bCs/>
          <w:sz w:val="24"/>
          <w:szCs w:val="24"/>
          <w:lang w:val="en-US"/>
        </w:rPr>
        <w:t>.</w:t>
      </w:r>
      <w:r>
        <w:rPr>
          <w:sz w:val="24"/>
          <w:szCs w:val="24"/>
          <w:lang w:val="en-US"/>
        </w:rPr>
        <w:t xml:space="preserve"> Common Topical treatments </w:t>
      </w:r>
      <w:r w:rsidR="00031839">
        <w:rPr>
          <w:sz w:val="24"/>
          <w:szCs w:val="24"/>
          <w:lang w:val="en-US"/>
        </w:rPr>
        <w:t>for phenotypic approach of Rosacea.</w:t>
      </w:r>
    </w:p>
    <w:p w14:paraId="2BAB8833" w14:textId="2C0414AA" w:rsidR="00BC781F" w:rsidRPr="00BC781F" w:rsidRDefault="00BC781F" w:rsidP="00BC781F">
      <w:pPr>
        <w:pStyle w:val="Heading2"/>
        <w:rPr>
          <w:sz w:val="24"/>
          <w:szCs w:val="24"/>
          <w:lang w:val="en-US"/>
        </w:rPr>
      </w:pPr>
      <w:bookmarkStart w:id="12" w:name="_Toc171010347"/>
      <w:r w:rsidRPr="00BC781F">
        <w:rPr>
          <w:sz w:val="24"/>
          <w:szCs w:val="24"/>
          <w:lang w:val="en-US"/>
        </w:rPr>
        <w:t>Phenotypic Approach</w:t>
      </w:r>
      <w:bookmarkEnd w:id="12"/>
    </w:p>
    <w:p w14:paraId="52A1936B" w14:textId="6267A617" w:rsidR="6A6CE5C8" w:rsidRPr="007C4EE8" w:rsidRDefault="6A6CE5C8" w:rsidP="001529D4">
      <w:pPr>
        <w:spacing w:line="480" w:lineRule="auto"/>
        <w:rPr>
          <w:sz w:val="24"/>
          <w:szCs w:val="24"/>
          <w:lang w:val="en-US"/>
        </w:rPr>
      </w:pPr>
      <w:r w:rsidRPr="007C4EE8">
        <w:rPr>
          <w:sz w:val="24"/>
          <w:szCs w:val="24"/>
          <w:lang w:val="en-US"/>
        </w:rPr>
        <w:t>In the</w:t>
      </w:r>
      <w:r w:rsidR="50917D46" w:rsidRPr="007C4EE8">
        <w:rPr>
          <w:sz w:val="24"/>
          <w:szCs w:val="24"/>
          <w:lang w:val="en-US"/>
        </w:rPr>
        <w:t xml:space="preserve"> </w:t>
      </w:r>
      <w:r w:rsidR="5AFD1847" w:rsidRPr="007C4EE8">
        <w:rPr>
          <w:sz w:val="24"/>
          <w:szCs w:val="24"/>
          <w:lang w:val="en-US"/>
        </w:rPr>
        <w:t>p</w:t>
      </w:r>
      <w:r w:rsidR="3E1D1CAD" w:rsidRPr="007C4EE8">
        <w:rPr>
          <w:sz w:val="24"/>
          <w:szCs w:val="24"/>
          <w:lang w:val="en-US"/>
        </w:rPr>
        <w:t>henotypic approach</w:t>
      </w:r>
      <w:r w:rsidR="3FD95517" w:rsidRPr="007C4EE8">
        <w:rPr>
          <w:sz w:val="24"/>
          <w:szCs w:val="24"/>
          <w:lang w:val="en-US"/>
        </w:rPr>
        <w:t xml:space="preserve"> of rosacea</w:t>
      </w:r>
      <w:r w:rsidR="74EB753F" w:rsidRPr="007C4EE8">
        <w:rPr>
          <w:sz w:val="24"/>
          <w:szCs w:val="24"/>
          <w:lang w:val="en-US"/>
        </w:rPr>
        <w:t>,</w:t>
      </w:r>
      <w:r w:rsidR="3E1D1CAD" w:rsidRPr="007C4EE8">
        <w:rPr>
          <w:sz w:val="24"/>
          <w:szCs w:val="24"/>
          <w:lang w:val="en-US"/>
        </w:rPr>
        <w:t xml:space="preserve"> flushing, transient erythema, persistent erythema, papules or pustules, telangiectasia, </w:t>
      </w:r>
      <w:proofErr w:type="spellStart"/>
      <w:r w:rsidR="3E1D1CAD" w:rsidRPr="007C4EE8">
        <w:rPr>
          <w:sz w:val="24"/>
          <w:szCs w:val="24"/>
          <w:lang w:val="en-US"/>
        </w:rPr>
        <w:t>phymata</w:t>
      </w:r>
      <w:proofErr w:type="spellEnd"/>
      <w:r w:rsidR="3E1D1CAD" w:rsidRPr="007C4EE8">
        <w:rPr>
          <w:sz w:val="24"/>
          <w:szCs w:val="24"/>
          <w:lang w:val="en-US"/>
        </w:rPr>
        <w:t>, and pain sensations</w:t>
      </w:r>
      <w:r w:rsidR="543DE7D8" w:rsidRPr="007C4EE8">
        <w:rPr>
          <w:sz w:val="24"/>
          <w:szCs w:val="24"/>
          <w:lang w:val="en-US"/>
        </w:rPr>
        <w:t xml:space="preserve"> </w:t>
      </w:r>
      <w:r w:rsidR="3E1D1CAD" w:rsidRPr="007C4EE8">
        <w:rPr>
          <w:sz w:val="24"/>
          <w:szCs w:val="24"/>
          <w:lang w:val="en-US"/>
        </w:rPr>
        <w:t xml:space="preserve">are treated on a first line, second line, and off-label basis (Steinhoff M, &amp; </w:t>
      </w:r>
      <w:proofErr w:type="spellStart"/>
      <w:r w:rsidR="3E1D1CAD" w:rsidRPr="007C4EE8">
        <w:rPr>
          <w:sz w:val="24"/>
          <w:szCs w:val="24"/>
          <w:lang w:val="en-US"/>
        </w:rPr>
        <w:t>Buddenkotte</w:t>
      </w:r>
      <w:proofErr w:type="spellEnd"/>
      <w:r w:rsidR="3E1D1CAD" w:rsidRPr="007C4EE8">
        <w:rPr>
          <w:sz w:val="24"/>
          <w:szCs w:val="24"/>
          <w:lang w:val="en-US"/>
        </w:rPr>
        <w:t xml:space="preserve"> J Rosacea. Kang S, &amp; </w:t>
      </w:r>
      <w:proofErr w:type="spellStart"/>
      <w:r w:rsidR="3E1D1CAD" w:rsidRPr="007C4EE8">
        <w:rPr>
          <w:sz w:val="24"/>
          <w:szCs w:val="24"/>
          <w:lang w:val="en-US"/>
        </w:rPr>
        <w:t>Amagai</w:t>
      </w:r>
      <w:proofErr w:type="spellEnd"/>
      <w:r w:rsidR="3E1D1CAD" w:rsidRPr="007C4EE8">
        <w:rPr>
          <w:sz w:val="24"/>
          <w:szCs w:val="24"/>
          <w:lang w:val="en-US"/>
        </w:rPr>
        <w:t xml:space="preserve"> M, &amp; Bruckner A.L., &amp; </w:t>
      </w:r>
      <w:proofErr w:type="spellStart"/>
      <w:r w:rsidR="3E1D1CAD" w:rsidRPr="007C4EE8">
        <w:rPr>
          <w:sz w:val="24"/>
          <w:szCs w:val="24"/>
          <w:lang w:val="en-US"/>
        </w:rPr>
        <w:t>Enk</w:t>
      </w:r>
      <w:proofErr w:type="spellEnd"/>
      <w:r w:rsidR="3E1D1CAD" w:rsidRPr="007C4EE8">
        <w:rPr>
          <w:sz w:val="24"/>
          <w:szCs w:val="24"/>
          <w:lang w:val="en-US"/>
        </w:rPr>
        <w:t xml:space="preserve"> A.H., &amp; Margolis D.J., &amp; McMichael A.J., &amp; </w:t>
      </w:r>
      <w:proofErr w:type="spellStart"/>
      <w:r w:rsidR="3E1D1CAD" w:rsidRPr="007C4EE8">
        <w:rPr>
          <w:sz w:val="24"/>
          <w:szCs w:val="24"/>
          <w:lang w:val="en-US"/>
        </w:rPr>
        <w:t>Orringer</w:t>
      </w:r>
      <w:proofErr w:type="spellEnd"/>
      <w:r w:rsidR="3E1D1CAD" w:rsidRPr="007C4EE8">
        <w:rPr>
          <w:sz w:val="24"/>
          <w:szCs w:val="24"/>
          <w:lang w:val="en-US"/>
        </w:rPr>
        <w:t xml:space="preserve"> J.S.(Eds.) 2019). First line treatment varies based on clinical severity and origin of pathophysiology on a </w:t>
      </w:r>
      <w:r w:rsidR="03B45029" w:rsidRPr="007C4EE8">
        <w:rPr>
          <w:sz w:val="24"/>
          <w:szCs w:val="24"/>
          <w:lang w:val="en-US"/>
        </w:rPr>
        <w:t>case-by-case</w:t>
      </w:r>
      <w:r w:rsidR="3E1D1CAD" w:rsidRPr="007C4EE8">
        <w:rPr>
          <w:sz w:val="24"/>
          <w:szCs w:val="24"/>
          <w:lang w:val="en-US"/>
        </w:rPr>
        <w:t xml:space="preserve"> basis. A recent </w:t>
      </w:r>
      <w:proofErr w:type="spellStart"/>
      <w:r w:rsidR="3E1D1CAD" w:rsidRPr="007C4EE8">
        <w:rPr>
          <w:sz w:val="24"/>
          <w:szCs w:val="24"/>
          <w:lang w:val="en-US"/>
        </w:rPr>
        <w:t>patho</w:t>
      </w:r>
      <w:proofErr w:type="spellEnd"/>
      <w:r w:rsidR="1C6EBFA3" w:rsidRPr="007C4EE8">
        <w:rPr>
          <w:sz w:val="24"/>
          <w:szCs w:val="24"/>
          <w:lang w:val="en-US"/>
        </w:rPr>
        <w:t xml:space="preserve"> </w:t>
      </w:r>
      <w:r w:rsidR="3E1D1CAD" w:rsidRPr="007C4EE8">
        <w:rPr>
          <w:sz w:val="24"/>
          <w:szCs w:val="24"/>
          <w:lang w:val="en-US"/>
        </w:rPr>
        <w:lastRenderedPageBreak/>
        <w:t xml:space="preserve">mechanism therapy utilizes Azelaic acid. </w:t>
      </w:r>
      <w:r w:rsidR="001529D4">
        <w:rPr>
          <w:sz w:val="24"/>
          <w:szCs w:val="24"/>
          <w:lang w:val="en-US"/>
        </w:rPr>
        <w:t>Azelaic acid is known primarily for its antimicrobial properties, manipulation of keratin production and its ability to reduce inflammation. Common usage ranges of Azelaic acid on the market are 15% and 20%. For rosacea, azelaic acid is commonly used to address hyperpigmentation caused by acne and inflammation</w:t>
      </w:r>
      <w:r w:rsidR="001529D4" w:rsidRPr="001529D4">
        <w:t xml:space="preserve"> </w:t>
      </w:r>
      <w:r w:rsidR="001529D4" w:rsidRPr="001529D4">
        <w:rPr>
          <w:sz w:val="24"/>
          <w:szCs w:val="24"/>
          <w:lang w:val="en-US"/>
        </w:rPr>
        <w:t>(Woolery-Lloyd, Keri et al. 2013)</w:t>
      </w:r>
      <w:r w:rsidR="001529D4">
        <w:rPr>
          <w:sz w:val="24"/>
          <w:szCs w:val="24"/>
          <w:lang w:val="en-US"/>
        </w:rPr>
        <w:t>.</w:t>
      </w:r>
      <w:r w:rsidR="001529D4">
        <w:rPr>
          <w:sz w:val="24"/>
          <w:szCs w:val="24"/>
          <w:lang w:val="en-US"/>
        </w:rPr>
        <w:t xml:space="preserve"> </w:t>
      </w:r>
      <w:r w:rsidR="3E1D1CAD" w:rsidRPr="007C4EE8">
        <w:rPr>
          <w:sz w:val="24"/>
          <w:szCs w:val="24"/>
          <w:lang w:val="en-US"/>
        </w:rPr>
        <w:t xml:space="preserve">Azelaic acid has demonstrated anti-inflammatory properties by inhibiting the production of inflammatory mediators, such as interleukin-8 (IL-8) and tumor necrosis factor-alpha (TNF-alpha). By reducing inflammation, it helps to alleviate redness and swelling associated with rosacea. Azelaic acid has mild antimicrobial effects against various microorganisms, including Propionibacterium acnes and Staphylococcus epidermidis, which are commonly found in rosacea-affected skin. In </w:t>
      </w:r>
      <w:bookmarkStart w:id="13" w:name="_Int_LA1KtT88"/>
      <w:r w:rsidR="3E1D1CAD" w:rsidRPr="007C4EE8">
        <w:rPr>
          <w:sz w:val="24"/>
          <w:szCs w:val="24"/>
          <w:lang w:val="en-US"/>
        </w:rPr>
        <w:t>skin of</w:t>
      </w:r>
      <w:bookmarkEnd w:id="13"/>
      <w:r w:rsidR="3E1D1CAD" w:rsidRPr="007C4EE8">
        <w:rPr>
          <w:sz w:val="24"/>
          <w:szCs w:val="24"/>
          <w:lang w:val="en-US"/>
        </w:rPr>
        <w:t xml:space="preserve"> color research also proves the treatment to be effective. </w:t>
      </w:r>
      <w:r w:rsidR="5712DF4E" w:rsidRPr="007C4EE8">
        <w:rPr>
          <w:sz w:val="24"/>
          <w:szCs w:val="24"/>
          <w:lang w:val="en-US"/>
        </w:rPr>
        <w:t>There</w:t>
      </w:r>
      <w:r w:rsidR="3E1D1CAD" w:rsidRPr="007C4EE8">
        <w:rPr>
          <w:sz w:val="24"/>
          <w:szCs w:val="24"/>
          <w:lang w:val="en-US"/>
        </w:rPr>
        <w:t xml:space="preserve"> is concern about the strength of azelaic acid and its ability to burn and sting the skin. It is noted that hyperpigmentation and hypopigmentation are not reported.</w:t>
      </w:r>
    </w:p>
    <w:p w14:paraId="7AB94FE4" w14:textId="2EA2105F" w:rsidR="00BC781F" w:rsidRPr="00BC781F" w:rsidRDefault="00BC781F" w:rsidP="00BC781F">
      <w:pPr>
        <w:pStyle w:val="Heading2"/>
        <w:rPr>
          <w:sz w:val="24"/>
          <w:szCs w:val="24"/>
          <w:lang w:val="en-US"/>
        </w:rPr>
      </w:pPr>
      <w:bookmarkStart w:id="14" w:name="_Toc171010348"/>
      <w:r w:rsidRPr="00BC781F">
        <w:rPr>
          <w:sz w:val="24"/>
          <w:szCs w:val="24"/>
          <w:lang w:val="en-US"/>
        </w:rPr>
        <w:t>Thermal Therapy</w:t>
      </w:r>
      <w:bookmarkEnd w:id="14"/>
    </w:p>
    <w:p w14:paraId="498B0C48" w14:textId="3596F171" w:rsidR="00D20953" w:rsidRPr="007C4EE8" w:rsidRDefault="00D20953" w:rsidP="007C4EE8">
      <w:pPr>
        <w:spacing w:before="240" w:line="480" w:lineRule="auto"/>
        <w:ind w:firstLine="720"/>
        <w:rPr>
          <w:sz w:val="24"/>
          <w:szCs w:val="24"/>
          <w:lang w:val="en-US"/>
        </w:rPr>
      </w:pPr>
      <w:r w:rsidRPr="007C4EE8">
        <w:rPr>
          <w:sz w:val="24"/>
          <w:szCs w:val="24"/>
          <w:lang w:val="en-US"/>
        </w:rPr>
        <w:t>Understanding how temperature variations and thermal therapies fit into the therapy of rosacea is part of thermal analysis.</w:t>
      </w:r>
      <w:r w:rsidRPr="007C4EE8">
        <w:rPr>
          <w:sz w:val="24"/>
          <w:szCs w:val="24"/>
          <w:lang w:val="en-US"/>
        </w:rPr>
        <w:t xml:space="preserve"> </w:t>
      </w:r>
      <w:r w:rsidRPr="007C4EE8">
        <w:rPr>
          <w:sz w:val="24"/>
          <w:szCs w:val="24"/>
          <w:lang w:val="en-US"/>
        </w:rPr>
        <w:t xml:space="preserve">Using lasers and light-based therapies is one of the most popular thermal </w:t>
      </w:r>
      <w:r w:rsidRPr="007C4EE8">
        <w:rPr>
          <w:sz w:val="24"/>
          <w:szCs w:val="24"/>
          <w:lang w:val="en-US"/>
        </w:rPr>
        <w:t>therapies</w:t>
      </w:r>
      <w:r w:rsidRPr="007C4EE8">
        <w:rPr>
          <w:sz w:val="24"/>
          <w:szCs w:val="24"/>
          <w:lang w:val="en-US"/>
        </w:rPr>
        <w:t xml:space="preserve"> for treating rosacea. The common application of pulsed dye lasers (PDL) is to target blood vessels and lessen the redness and inflammation linked to rosacea</w:t>
      </w:r>
      <w:r w:rsidRPr="007C4EE8">
        <w:rPr>
          <w:color w:val="000000"/>
          <w:sz w:val="24"/>
          <w:szCs w:val="24"/>
        </w:rPr>
        <w:t xml:space="preserve"> </w:t>
      </w:r>
      <w:r w:rsidRPr="007C4EE8">
        <w:rPr>
          <w:sz w:val="24"/>
          <w:szCs w:val="24"/>
        </w:rPr>
        <w:t>(Bowe et al., 2011; National Rosacea Society, 2023)</w:t>
      </w:r>
      <w:r w:rsidRPr="007C4EE8">
        <w:rPr>
          <w:sz w:val="24"/>
          <w:szCs w:val="24"/>
          <w:lang w:val="en-US"/>
        </w:rPr>
        <w:t>.</w:t>
      </w:r>
      <w:r w:rsidR="00074C6D" w:rsidRPr="007C4EE8">
        <w:rPr>
          <w:sz w:val="24"/>
          <w:szCs w:val="24"/>
          <w:lang w:val="en-US"/>
        </w:rPr>
        <w:t xml:space="preserve"> In skin of color, light and laser therapies are recommended however, they pose a risk of </w:t>
      </w:r>
      <w:r w:rsidR="009062E6" w:rsidRPr="007C4EE8">
        <w:rPr>
          <w:sz w:val="24"/>
          <w:szCs w:val="24"/>
          <w:lang w:val="en-US"/>
        </w:rPr>
        <w:t xml:space="preserve">dyspigmentation and melanin </w:t>
      </w:r>
      <w:proofErr w:type="spellStart"/>
      <w:r w:rsidR="009062E6" w:rsidRPr="007C4EE8">
        <w:rPr>
          <w:sz w:val="24"/>
          <w:szCs w:val="24"/>
          <w:lang w:val="en-US"/>
        </w:rPr>
        <w:t>chromaphore</w:t>
      </w:r>
      <w:proofErr w:type="spellEnd"/>
      <w:r w:rsidR="009062E6" w:rsidRPr="007C4EE8">
        <w:rPr>
          <w:sz w:val="24"/>
          <w:szCs w:val="24"/>
        </w:rPr>
        <w:t xml:space="preserve"> </w:t>
      </w:r>
      <w:r w:rsidR="009062E6" w:rsidRPr="007C4EE8">
        <w:rPr>
          <w:sz w:val="24"/>
          <w:szCs w:val="24"/>
          <w:lang w:val="en-US"/>
        </w:rPr>
        <w:t>(</w:t>
      </w:r>
      <w:proofErr w:type="spellStart"/>
      <w:r w:rsidR="009062E6" w:rsidRPr="007C4EE8">
        <w:rPr>
          <w:sz w:val="24"/>
          <w:szCs w:val="24"/>
          <w:lang w:val="en-US"/>
        </w:rPr>
        <w:t>Maliyar</w:t>
      </w:r>
      <w:proofErr w:type="spellEnd"/>
      <w:r w:rsidR="009062E6" w:rsidRPr="007C4EE8">
        <w:rPr>
          <w:sz w:val="24"/>
          <w:szCs w:val="24"/>
          <w:lang w:val="en-US"/>
        </w:rPr>
        <w:t>, Sonya J Abdulla 2022)</w:t>
      </w:r>
      <w:r w:rsidR="009062E6" w:rsidRPr="007C4EE8">
        <w:rPr>
          <w:sz w:val="24"/>
          <w:szCs w:val="24"/>
          <w:lang w:val="en-US"/>
        </w:rPr>
        <w:t>. Individuals with darker skin possess more labile melanocytes, which are more susceptible to damage. This increases the risk of keloids and scarring</w:t>
      </w:r>
      <w:r w:rsidR="009062E6" w:rsidRPr="007C4EE8">
        <w:rPr>
          <w:sz w:val="24"/>
          <w:szCs w:val="24"/>
        </w:rPr>
        <w:t xml:space="preserve"> </w:t>
      </w:r>
      <w:r w:rsidR="009062E6" w:rsidRPr="007C4EE8">
        <w:rPr>
          <w:sz w:val="24"/>
          <w:szCs w:val="24"/>
          <w:lang w:val="en-US"/>
        </w:rPr>
        <w:t>(</w:t>
      </w:r>
      <w:proofErr w:type="spellStart"/>
      <w:r w:rsidR="009062E6" w:rsidRPr="007C4EE8">
        <w:rPr>
          <w:sz w:val="24"/>
          <w:szCs w:val="24"/>
          <w:lang w:val="en-US"/>
        </w:rPr>
        <w:t>Maliyar</w:t>
      </w:r>
      <w:proofErr w:type="spellEnd"/>
      <w:r w:rsidR="009062E6" w:rsidRPr="007C4EE8">
        <w:rPr>
          <w:sz w:val="24"/>
          <w:szCs w:val="24"/>
          <w:lang w:val="en-US"/>
        </w:rPr>
        <w:t xml:space="preserve">, Sonya J Abdulla </w:t>
      </w:r>
      <w:r w:rsidR="009062E6" w:rsidRPr="007C4EE8">
        <w:rPr>
          <w:sz w:val="24"/>
          <w:szCs w:val="24"/>
          <w:lang w:val="en-US"/>
        </w:rPr>
        <w:lastRenderedPageBreak/>
        <w:t>2022)</w:t>
      </w:r>
      <w:r w:rsidR="009062E6" w:rsidRPr="007C4EE8">
        <w:rPr>
          <w:sz w:val="24"/>
          <w:szCs w:val="24"/>
          <w:lang w:val="en-US"/>
        </w:rPr>
        <w:t xml:space="preserve">. It is important people of color seeking thermal analysis treatment understand the risks and seek a professional that understands the complexities and sensitivities of </w:t>
      </w:r>
      <w:proofErr w:type="spellStart"/>
      <w:r w:rsidR="009062E6" w:rsidRPr="007C4EE8">
        <w:rPr>
          <w:sz w:val="24"/>
          <w:szCs w:val="24"/>
          <w:lang w:val="en-US"/>
        </w:rPr>
        <w:t>melaninated</w:t>
      </w:r>
      <w:proofErr w:type="spellEnd"/>
      <w:r w:rsidR="009062E6" w:rsidRPr="007C4EE8">
        <w:rPr>
          <w:sz w:val="24"/>
          <w:szCs w:val="24"/>
          <w:lang w:val="en-US"/>
        </w:rPr>
        <w:t xml:space="preserve"> skin.</w:t>
      </w:r>
    </w:p>
    <w:p w14:paraId="44ABA250" w14:textId="2F129AFD" w:rsidR="006E3DAE" w:rsidRPr="00BC781F" w:rsidRDefault="006E3DAE" w:rsidP="006E3DAE">
      <w:pPr>
        <w:pStyle w:val="Heading2"/>
        <w:rPr>
          <w:sz w:val="24"/>
          <w:szCs w:val="24"/>
          <w:lang w:val="en-US"/>
        </w:rPr>
      </w:pPr>
      <w:bookmarkStart w:id="15" w:name="_Toc171010349"/>
      <w:r w:rsidRPr="00BC781F">
        <w:rPr>
          <w:sz w:val="24"/>
          <w:szCs w:val="24"/>
          <w:lang w:val="en-US"/>
        </w:rPr>
        <w:t>Recommendations</w:t>
      </w:r>
      <w:bookmarkEnd w:id="15"/>
    </w:p>
    <w:p w14:paraId="07715F2A" w14:textId="67A1C912" w:rsidR="3E1D1CAD" w:rsidRPr="007C4EE8" w:rsidRDefault="3E1D1CAD" w:rsidP="007C4EE8">
      <w:pPr>
        <w:spacing w:before="240" w:line="480" w:lineRule="auto"/>
        <w:ind w:firstLine="720"/>
        <w:rPr>
          <w:sz w:val="24"/>
          <w:szCs w:val="24"/>
          <w:lang w:val="en-US"/>
        </w:rPr>
      </w:pPr>
      <w:r w:rsidRPr="007C4EE8">
        <w:rPr>
          <w:sz w:val="24"/>
          <w:szCs w:val="24"/>
          <w:lang w:val="en-US"/>
        </w:rPr>
        <w:t>To minimize the symptoms of rosacea, adopting a gentle and consistent skincare routine is crucial. Cleansing the face twice daily with a mild cleanser using gentle fingertip motions can help reduce irritation. Moisturizing daily is essential for hydrating the skin and improving the efficacy of rosacea treatment, as demonstrated in studies (American Academy of Dermatology Association). Sun protection is paramount year-round, as sun exposure is a common trigger for rosacea flare-ups. Opting for noncomedogenic skin care products can prevent pore-clogging, reducing the likelihood of pimples associated with rosacea (Victorian Dermal Group 2020). Saunas and excessive heat should be avoided to prevent triggering flare-ups. Identifying and avoiding trigger foods, such as spicy foods and alcohol, is recommended. Stress reduction through activities like meditation and yoga can mitigate symptoms, as stress may exacerbate facial redness (Victorian Dermal Group 2020). Opting for low-intensity exercise, avoiding high-intensity activities that may worsen redness, and scrutinizing product ingredients for common rosacea triggers like menthol and camphor contribute to effective symptom management (Victorian Dermal Group 2020). Additionally, applying a mild, fragrance-free emollient before makeup and using a light, liquid-based foundation can provide a cosmetic solution that minimizes the visual impact of rosacea (American Academy of Dermatology Association 2020). Consistency in these practices can significantly contribute to the overall management of rosacea symptoms.</w:t>
      </w:r>
      <w:r w:rsidR="2C9BD392" w:rsidRPr="007C4EE8">
        <w:rPr>
          <w:sz w:val="24"/>
          <w:szCs w:val="24"/>
          <w:lang w:val="en-US"/>
        </w:rPr>
        <w:t xml:space="preserve"> There is </w:t>
      </w:r>
      <w:r w:rsidR="2C9BD392" w:rsidRPr="007C4EE8">
        <w:rPr>
          <w:sz w:val="24"/>
          <w:szCs w:val="24"/>
          <w:lang w:val="en-US"/>
        </w:rPr>
        <w:lastRenderedPageBreak/>
        <w:t>limited research and information available addressing treatment of rosacea</w:t>
      </w:r>
      <w:r w:rsidR="58F671EE" w:rsidRPr="007C4EE8">
        <w:rPr>
          <w:sz w:val="24"/>
          <w:szCs w:val="24"/>
          <w:lang w:val="en-US"/>
        </w:rPr>
        <w:t xml:space="preserve"> specific to</w:t>
      </w:r>
      <w:r w:rsidR="2C9BD392" w:rsidRPr="007C4EE8">
        <w:rPr>
          <w:sz w:val="24"/>
          <w:szCs w:val="24"/>
          <w:lang w:val="en-US"/>
        </w:rPr>
        <w:t xml:space="preserve"> darker skin types. This should be addressed with new technolog</w:t>
      </w:r>
      <w:r w:rsidR="6A7F606D" w:rsidRPr="007C4EE8">
        <w:rPr>
          <w:sz w:val="24"/>
          <w:szCs w:val="24"/>
          <w:lang w:val="en-US"/>
        </w:rPr>
        <w:t>ies, treatments, and approaches to the condition further exploring the disease and best treatments</w:t>
      </w:r>
      <w:r w:rsidR="4BFC0D9A" w:rsidRPr="007C4EE8">
        <w:rPr>
          <w:sz w:val="24"/>
          <w:szCs w:val="24"/>
          <w:lang w:val="en-US"/>
        </w:rPr>
        <w:t>.</w:t>
      </w:r>
    </w:p>
    <w:p w14:paraId="4D0AF7C9" w14:textId="77777777" w:rsidR="003247A0" w:rsidRPr="00A45A56" w:rsidRDefault="003247A0" w:rsidP="003247A0">
      <w:pPr>
        <w:pStyle w:val="Heading1"/>
        <w:rPr>
          <w:b/>
          <w:bCs/>
          <w:sz w:val="24"/>
          <w:szCs w:val="24"/>
        </w:rPr>
      </w:pPr>
      <w:bookmarkStart w:id="16" w:name="_Toc171010350"/>
      <w:r w:rsidRPr="00A45A56">
        <w:rPr>
          <w:b/>
          <w:bCs/>
          <w:sz w:val="24"/>
          <w:szCs w:val="24"/>
        </w:rPr>
        <w:t>Current Research</w:t>
      </w:r>
      <w:bookmarkEnd w:id="16"/>
    </w:p>
    <w:p w14:paraId="38D0C3D2" w14:textId="77777777" w:rsidR="003247A0" w:rsidRPr="007C4EE8" w:rsidRDefault="003247A0" w:rsidP="003247A0">
      <w:pPr>
        <w:spacing w:line="480" w:lineRule="auto"/>
        <w:ind w:firstLine="720"/>
        <w:rPr>
          <w:sz w:val="24"/>
          <w:szCs w:val="24"/>
          <w:lang w:val="en-US"/>
        </w:rPr>
      </w:pPr>
      <w:r w:rsidRPr="007C4EE8">
        <w:rPr>
          <w:sz w:val="24"/>
          <w:szCs w:val="24"/>
          <w:lang w:val="en-US"/>
        </w:rPr>
        <w:t xml:space="preserve">There is an array of research currently being completed to deepen knowledge of rosacea. Ros-NET, a computer aided rosacea diagnostic tool aims to decrease subjectivity and variability that common diagnostics methods impose. This research is led by Dr. Benjamin </w:t>
      </w:r>
      <w:proofErr w:type="spellStart"/>
      <w:r w:rsidRPr="007C4EE8">
        <w:rPr>
          <w:sz w:val="24"/>
          <w:szCs w:val="24"/>
          <w:lang w:val="en-US"/>
        </w:rPr>
        <w:t>Kaffenberger</w:t>
      </w:r>
      <w:proofErr w:type="spellEnd"/>
      <w:r w:rsidRPr="007C4EE8">
        <w:rPr>
          <w:sz w:val="24"/>
          <w:szCs w:val="24"/>
          <w:lang w:val="en-US"/>
        </w:rPr>
        <w:t xml:space="preserve"> at Ohio State University. A collection of images, clinical findings and demographics are utilized to create a deep learning algorithm focused on rosacea. The images taken by the tool use a natural white light paired with natural facial features to determine facial boundaries and detect rosacea prone areas. The tool has around a 90% accuracy rate which in part is because of the limited functionality of the device. A suggestion to enhance the inclusivity of diagnostic tools like Ros-NET is to account for the diverse manifestations of rosacea in individuals with </w:t>
      </w:r>
      <w:bookmarkStart w:id="17" w:name="_Int_r3QeJM79"/>
      <w:r w:rsidRPr="007C4EE8">
        <w:rPr>
          <w:sz w:val="24"/>
          <w:szCs w:val="24"/>
          <w:lang w:val="en-US"/>
        </w:rPr>
        <w:t>skin of</w:t>
      </w:r>
      <w:bookmarkEnd w:id="17"/>
      <w:r w:rsidRPr="007C4EE8">
        <w:rPr>
          <w:sz w:val="24"/>
          <w:szCs w:val="24"/>
          <w:lang w:val="en-US"/>
        </w:rPr>
        <w:t xml:space="preserve"> color. This could involve expanding the dataset used to train deep learning algorithms to include images of rosacea in darker skin tones from diverse populations. At the University of California - Davis, Dr. Mark J Mannis leads research for the </w:t>
      </w:r>
      <w:proofErr w:type="spellStart"/>
      <w:r w:rsidRPr="007C4EE8">
        <w:rPr>
          <w:sz w:val="24"/>
          <w:szCs w:val="24"/>
          <w:lang w:val="en-US"/>
        </w:rPr>
        <w:t>glycomics</w:t>
      </w:r>
      <w:proofErr w:type="spellEnd"/>
      <w:r w:rsidRPr="007C4EE8">
        <w:rPr>
          <w:sz w:val="24"/>
          <w:szCs w:val="24"/>
          <w:lang w:val="en-US"/>
        </w:rPr>
        <w:t xml:space="preserve"> analyses of tear fluid to further diagnostic detection of ocular rosacea. Subtype 4 ocular rosacea, untreated, results in reduced vision. In this research, a sample of tears were collected and analyzed for the presence of oligosaccharides. These oligosaccharides are an indicator and marker for subtype 4 ocular rosacea. Investigating whether the presence of oligosaccharides in tear fluid serves as an </w:t>
      </w:r>
      <w:r w:rsidRPr="007C4EE8">
        <w:rPr>
          <w:sz w:val="24"/>
          <w:szCs w:val="24"/>
          <w:lang w:val="en-US"/>
        </w:rPr>
        <w:lastRenderedPageBreak/>
        <w:t>indicator for ocular rosacea in diverse populations could provide valuable insights into improving diagnostic accuracy across different skin types.</w:t>
      </w:r>
    </w:p>
    <w:p w14:paraId="3A7F9F31" w14:textId="44354B52" w:rsidR="003247A0" w:rsidRPr="003247A0" w:rsidRDefault="003247A0" w:rsidP="003247A0">
      <w:pPr>
        <w:spacing w:before="240" w:line="480" w:lineRule="auto"/>
        <w:ind w:firstLine="720"/>
        <w:rPr>
          <w:sz w:val="24"/>
          <w:szCs w:val="24"/>
          <w:lang w:val="en-US"/>
        </w:rPr>
      </w:pPr>
      <w:r w:rsidRPr="007C4EE8">
        <w:rPr>
          <w:sz w:val="24"/>
          <w:szCs w:val="24"/>
          <w:lang w:val="en-US"/>
        </w:rPr>
        <w:t xml:space="preserve">In many studies available, diagnostic characteristics like flushing, non-transient erythema, inflammatory papules, pustules, and telangiectasia are the common critical criteria for rosacea. The concern with some of these criteria and efficacy in detection of rosacea is that these characteristics are not unique to rosacea. </w:t>
      </w:r>
      <w:proofErr w:type="spellStart"/>
      <w:r w:rsidRPr="007C4EE8">
        <w:rPr>
          <w:sz w:val="24"/>
          <w:szCs w:val="24"/>
          <w:lang w:val="en-US"/>
        </w:rPr>
        <w:t>Centrofacial</w:t>
      </w:r>
      <w:proofErr w:type="spellEnd"/>
      <w:r w:rsidRPr="007C4EE8">
        <w:rPr>
          <w:sz w:val="24"/>
          <w:szCs w:val="24"/>
          <w:lang w:val="en-US"/>
        </w:rPr>
        <w:t xml:space="preserve"> erythema is a sole requisite of rosacea only by severity (J. Tan 2017). However, this criterion falls short for diagnosis in dark skin. To improve detection methods for the disease, additional measures such as confirmatory biopsies should be performed with every diagnosis like </w:t>
      </w:r>
      <w:proofErr w:type="spellStart"/>
      <w:r w:rsidRPr="007C4EE8">
        <w:rPr>
          <w:sz w:val="24"/>
          <w:szCs w:val="24"/>
          <w:lang w:val="en-US"/>
        </w:rPr>
        <w:t>dermoscopy</w:t>
      </w:r>
      <w:proofErr w:type="spellEnd"/>
      <w:r w:rsidRPr="007C4EE8">
        <w:rPr>
          <w:sz w:val="24"/>
          <w:szCs w:val="24"/>
          <w:lang w:val="en-US"/>
        </w:rPr>
        <w:t xml:space="preserve">, confocal microscopy, and optical coherence tomography. Additional education should be done for all clinical professionals to understand the many presentations of rosacea in diverse cultural groups to improve early detection. Further research of biomarkers that indicate rosacea should be identified and implemented into the diagnosis process, checklist. </w:t>
      </w:r>
    </w:p>
    <w:p w14:paraId="7A61622E" w14:textId="0D0CAE19" w:rsidR="3E1D1CAD" w:rsidRPr="006E3DAE" w:rsidRDefault="3E1D1CAD" w:rsidP="006E3DAE">
      <w:pPr>
        <w:pStyle w:val="Heading1"/>
        <w:rPr>
          <w:b/>
          <w:bCs/>
          <w:sz w:val="24"/>
          <w:szCs w:val="24"/>
        </w:rPr>
      </w:pPr>
      <w:bookmarkStart w:id="18" w:name="_Toc171010351"/>
      <w:r w:rsidRPr="006E3DAE">
        <w:rPr>
          <w:b/>
          <w:bCs/>
          <w:sz w:val="24"/>
          <w:szCs w:val="24"/>
        </w:rPr>
        <w:t>Conclusion</w:t>
      </w:r>
      <w:bookmarkEnd w:id="18"/>
    </w:p>
    <w:p w14:paraId="762E18CC" w14:textId="69D29206" w:rsidR="3E1D1CAD" w:rsidRPr="001B699A" w:rsidRDefault="3E1D1CAD" w:rsidP="007C4EE8">
      <w:pPr>
        <w:spacing w:line="480" w:lineRule="auto"/>
        <w:ind w:firstLine="720"/>
        <w:rPr>
          <w:sz w:val="24"/>
          <w:szCs w:val="24"/>
          <w:lang w:val="en-US"/>
        </w:rPr>
      </w:pPr>
      <w:r w:rsidRPr="007C4EE8">
        <w:rPr>
          <w:sz w:val="24"/>
          <w:szCs w:val="24"/>
          <w:lang w:val="en-US"/>
        </w:rPr>
        <w:t xml:space="preserve">Current detection methods for rosacea rely on clinical examination, which may be less effective in individuals with </w:t>
      </w:r>
      <w:bookmarkStart w:id="19" w:name="_Int_AiD3VUeQ"/>
      <w:r w:rsidRPr="007C4EE8">
        <w:rPr>
          <w:sz w:val="24"/>
          <w:szCs w:val="24"/>
          <w:lang w:val="en-US"/>
        </w:rPr>
        <w:t>skin of</w:t>
      </w:r>
      <w:bookmarkEnd w:id="19"/>
      <w:r w:rsidRPr="007C4EE8">
        <w:rPr>
          <w:sz w:val="24"/>
          <w:szCs w:val="24"/>
          <w:lang w:val="en-US"/>
        </w:rPr>
        <w:t xml:space="preserve"> color due to variations in symptom presentation and low predictive values for certain features like flushing and erythema. </w:t>
      </w:r>
      <w:r w:rsidR="001B699A" w:rsidRPr="007C4EE8">
        <w:rPr>
          <w:sz w:val="24"/>
          <w:szCs w:val="24"/>
        </w:rPr>
        <w:t xml:space="preserve">To recommend improved methods, it should be clear what symptoms to look for and how they will present for darker skin tones. Rosacea in darker skin tends to appear purple, </w:t>
      </w:r>
      <w:proofErr w:type="gramStart"/>
      <w:r w:rsidR="001B699A" w:rsidRPr="007C4EE8">
        <w:rPr>
          <w:sz w:val="24"/>
          <w:szCs w:val="24"/>
        </w:rPr>
        <w:t>violet</w:t>
      </w:r>
      <w:proofErr w:type="gramEnd"/>
      <w:r w:rsidR="001B699A" w:rsidRPr="007C4EE8">
        <w:rPr>
          <w:sz w:val="24"/>
          <w:szCs w:val="24"/>
        </w:rPr>
        <w:t xml:space="preserve"> or darker brown (H 2023). Understanding that Rosacea appears differently in people of color provides a visual detection that could set the condition apart from others within the </w:t>
      </w:r>
      <w:r w:rsidR="001B699A" w:rsidRPr="007C4EE8">
        <w:rPr>
          <w:sz w:val="24"/>
          <w:szCs w:val="24"/>
        </w:rPr>
        <w:lastRenderedPageBreak/>
        <w:t xml:space="preserve">darker skin type. </w:t>
      </w:r>
      <w:r w:rsidRPr="007C4EE8">
        <w:rPr>
          <w:sz w:val="24"/>
          <w:szCs w:val="24"/>
          <w:lang w:val="en-US"/>
        </w:rPr>
        <w:t>Improvements in detection methods include the development of computer-aided diagnostic tools and the exploration of biomarkers such as oligosaccharides in tear fluid. Additionally, there is a need for increased education among healthcare professionals to recognize the diverse presentations of rosacea.</w:t>
      </w:r>
      <w:r w:rsidR="001B699A" w:rsidRPr="007C4EE8">
        <w:rPr>
          <w:sz w:val="24"/>
          <w:szCs w:val="24"/>
          <w:lang w:val="en-US"/>
        </w:rPr>
        <w:t xml:space="preserve"> </w:t>
      </w:r>
      <w:r w:rsidRPr="007C4EE8">
        <w:rPr>
          <w:sz w:val="24"/>
          <w:szCs w:val="24"/>
        </w:rPr>
        <w:t>Further research should focus on developing more inclusive and reliable detection methods tailored to diverse skin types, improving understanding of rosacea's pathophysiology in individuals with skin of color, and assessing the efficacy and compatibility of existing treatments in diverse populations. Additionally, exploring the role of biomarkers and innovative diagnostic tools could enhance early detection and management strategies for rosacea across different racial and ethnic groups.</w:t>
      </w:r>
    </w:p>
    <w:p w14:paraId="78D98316" w14:textId="094B1EEB" w:rsidR="04C44F05" w:rsidRDefault="04C44F05" w:rsidP="04C44F05">
      <w:pPr>
        <w:spacing w:line="480" w:lineRule="auto"/>
        <w:ind w:firstLine="720"/>
        <w:rPr>
          <w:sz w:val="24"/>
          <w:szCs w:val="24"/>
        </w:rPr>
      </w:pPr>
    </w:p>
    <w:p w14:paraId="6FA8D662" w14:textId="5457D6B2" w:rsidR="04C44F05" w:rsidRDefault="04C44F05" w:rsidP="04C44F05"/>
    <w:p w14:paraId="7335BB0B" w14:textId="3605CBB1" w:rsidR="04C44F05" w:rsidRDefault="04C44F05" w:rsidP="04C44F05">
      <w:r>
        <w:br w:type="page"/>
      </w:r>
    </w:p>
    <w:p w14:paraId="6112DF6C" w14:textId="17A327B8" w:rsidR="3E1D1CAD" w:rsidRPr="006E3DAE" w:rsidRDefault="3E1D1CAD" w:rsidP="006E3DAE">
      <w:pPr>
        <w:pStyle w:val="Heading1"/>
        <w:rPr>
          <w:b/>
          <w:bCs/>
          <w:sz w:val="24"/>
          <w:szCs w:val="24"/>
        </w:rPr>
      </w:pPr>
      <w:bookmarkStart w:id="20" w:name="_Toc171010352"/>
      <w:r w:rsidRPr="006E3DAE">
        <w:rPr>
          <w:b/>
          <w:bCs/>
          <w:sz w:val="24"/>
          <w:szCs w:val="24"/>
        </w:rPr>
        <w:lastRenderedPageBreak/>
        <w:t>References</w:t>
      </w:r>
      <w:bookmarkEnd w:id="20"/>
    </w:p>
    <w:p w14:paraId="09A1C8CF" w14:textId="3F6D2DA1" w:rsidR="4BED586E" w:rsidRPr="007C4EE8" w:rsidRDefault="4BED586E" w:rsidP="007C4EE8">
      <w:pPr>
        <w:spacing w:line="480" w:lineRule="auto"/>
        <w:rPr>
          <w:color w:val="000000" w:themeColor="text1"/>
          <w:sz w:val="24"/>
          <w:szCs w:val="24"/>
        </w:rPr>
      </w:pPr>
      <w:r w:rsidRPr="007C4EE8">
        <w:rPr>
          <w:color w:val="000000" w:themeColor="text1"/>
          <w:sz w:val="24"/>
          <w:szCs w:val="24"/>
        </w:rPr>
        <w:t>Patient-Focused Solutions in Rosacea Management: Treatment Challenges in Special Patient Groups. 2017. International journal of radiation oncology, biology, physics, 99(2), pp. A8.</w:t>
      </w:r>
    </w:p>
    <w:p w14:paraId="72F28C25" w14:textId="25A10EF1" w:rsidR="4BED586E" w:rsidRPr="007C4EE8" w:rsidRDefault="4BED586E" w:rsidP="007C4EE8">
      <w:pPr>
        <w:spacing w:line="480" w:lineRule="auto"/>
        <w:rPr>
          <w:sz w:val="24"/>
          <w:szCs w:val="24"/>
        </w:rPr>
      </w:pPr>
      <w:r w:rsidRPr="007C4EE8">
        <w:rPr>
          <w:color w:val="000000" w:themeColor="text1"/>
          <w:sz w:val="24"/>
          <w:szCs w:val="24"/>
        </w:rPr>
        <w:t xml:space="preserve"> </w:t>
      </w:r>
    </w:p>
    <w:p w14:paraId="27599A82" w14:textId="2B38DAA7" w:rsidR="4BED586E" w:rsidRPr="007C4EE8" w:rsidRDefault="4BED586E" w:rsidP="007C4EE8">
      <w:pPr>
        <w:spacing w:line="480" w:lineRule="auto"/>
        <w:rPr>
          <w:sz w:val="24"/>
          <w:szCs w:val="24"/>
        </w:rPr>
      </w:pPr>
      <w:r w:rsidRPr="007C4EE8">
        <w:rPr>
          <w:color w:val="000000" w:themeColor="text1"/>
          <w:sz w:val="24"/>
          <w:szCs w:val="24"/>
          <w:lang w:val="en-US"/>
        </w:rPr>
        <w:t xml:space="preserve">ABRAM, K., SILM, H., MAAROOS, H. and OONA, M., 2010. Risk factors associated with rosacea. Journal of the European Academy of Dermatology and </w:t>
      </w:r>
      <w:bookmarkStart w:id="21" w:name="_Int_BCFpEbJ8"/>
      <w:proofErr w:type="gramStart"/>
      <w:r w:rsidRPr="007C4EE8">
        <w:rPr>
          <w:color w:val="000000" w:themeColor="text1"/>
          <w:sz w:val="24"/>
          <w:szCs w:val="24"/>
          <w:lang w:val="en-US"/>
        </w:rPr>
        <w:t>Venereology :</w:t>
      </w:r>
      <w:bookmarkEnd w:id="21"/>
      <w:proofErr w:type="gramEnd"/>
      <w:r w:rsidRPr="007C4EE8">
        <w:rPr>
          <w:color w:val="000000" w:themeColor="text1"/>
          <w:sz w:val="24"/>
          <w:szCs w:val="24"/>
          <w:lang w:val="en-US"/>
        </w:rPr>
        <w:t xml:space="preserve"> JEADV, 24(5), pp. 565-571.</w:t>
      </w:r>
    </w:p>
    <w:p w14:paraId="3D0BD5E9" w14:textId="7AAD3F63" w:rsidR="4BED586E" w:rsidRPr="007C4EE8" w:rsidRDefault="4BED586E" w:rsidP="007C4EE8">
      <w:pPr>
        <w:spacing w:line="480" w:lineRule="auto"/>
        <w:rPr>
          <w:sz w:val="24"/>
          <w:szCs w:val="24"/>
        </w:rPr>
      </w:pPr>
      <w:r w:rsidRPr="007C4EE8">
        <w:rPr>
          <w:color w:val="000000" w:themeColor="text1"/>
          <w:sz w:val="24"/>
          <w:szCs w:val="24"/>
        </w:rPr>
        <w:t xml:space="preserve"> </w:t>
      </w:r>
    </w:p>
    <w:p w14:paraId="5F656E7F" w14:textId="378DCD7F" w:rsidR="4BED586E" w:rsidRPr="007C4EE8" w:rsidRDefault="4BED586E" w:rsidP="007C4EE8">
      <w:pPr>
        <w:spacing w:line="480" w:lineRule="auto"/>
        <w:rPr>
          <w:sz w:val="24"/>
          <w:szCs w:val="24"/>
        </w:rPr>
      </w:pPr>
      <w:r w:rsidRPr="007C4EE8">
        <w:rPr>
          <w:color w:val="000000" w:themeColor="text1"/>
          <w:sz w:val="24"/>
          <w:szCs w:val="24"/>
          <w:lang w:val="en-US"/>
        </w:rPr>
        <w:t xml:space="preserve">AKTAS KARABAY, E. and AKSU CERMAN, A., 2020. Demodex </w:t>
      </w:r>
      <w:proofErr w:type="spellStart"/>
      <w:r w:rsidRPr="007C4EE8">
        <w:rPr>
          <w:color w:val="000000" w:themeColor="text1"/>
          <w:sz w:val="24"/>
          <w:szCs w:val="24"/>
          <w:lang w:val="en-US"/>
        </w:rPr>
        <w:t>folliculorum</w:t>
      </w:r>
      <w:proofErr w:type="spellEnd"/>
      <w:r w:rsidRPr="007C4EE8">
        <w:rPr>
          <w:color w:val="000000" w:themeColor="text1"/>
          <w:sz w:val="24"/>
          <w:szCs w:val="24"/>
          <w:lang w:val="en-US"/>
        </w:rPr>
        <w:t xml:space="preserve"> infestations in common facial dermatoses: acne vulgaris, rosacea, seborrheic dermatitis. Anais </w:t>
      </w:r>
      <w:proofErr w:type="spellStart"/>
      <w:r w:rsidRPr="007C4EE8">
        <w:rPr>
          <w:color w:val="000000" w:themeColor="text1"/>
          <w:sz w:val="24"/>
          <w:szCs w:val="24"/>
          <w:lang w:val="en-US"/>
        </w:rPr>
        <w:t>Brasileiros</w:t>
      </w:r>
      <w:proofErr w:type="spellEnd"/>
      <w:r w:rsidRPr="007C4EE8">
        <w:rPr>
          <w:color w:val="000000" w:themeColor="text1"/>
          <w:sz w:val="24"/>
          <w:szCs w:val="24"/>
          <w:lang w:val="en-US"/>
        </w:rPr>
        <w:t xml:space="preserve"> de </w:t>
      </w:r>
      <w:proofErr w:type="spellStart"/>
      <w:r w:rsidRPr="007C4EE8">
        <w:rPr>
          <w:color w:val="000000" w:themeColor="text1"/>
          <w:sz w:val="24"/>
          <w:szCs w:val="24"/>
          <w:lang w:val="en-US"/>
        </w:rPr>
        <w:t>Dermatologia</w:t>
      </w:r>
      <w:proofErr w:type="spellEnd"/>
      <w:r w:rsidRPr="007C4EE8">
        <w:rPr>
          <w:color w:val="000000" w:themeColor="text1"/>
          <w:sz w:val="24"/>
          <w:szCs w:val="24"/>
          <w:lang w:val="en-US"/>
        </w:rPr>
        <w:t>, 95(2), pp. 187-193.</w:t>
      </w:r>
    </w:p>
    <w:p w14:paraId="151A92B0" w14:textId="050EA2A2" w:rsidR="4BED586E" w:rsidRPr="007C4EE8" w:rsidRDefault="4BED586E" w:rsidP="007C4EE8">
      <w:pPr>
        <w:spacing w:line="480" w:lineRule="auto"/>
        <w:rPr>
          <w:sz w:val="24"/>
          <w:szCs w:val="24"/>
        </w:rPr>
      </w:pPr>
      <w:r w:rsidRPr="007C4EE8">
        <w:rPr>
          <w:color w:val="000000" w:themeColor="text1"/>
          <w:sz w:val="24"/>
          <w:szCs w:val="24"/>
        </w:rPr>
        <w:t xml:space="preserve"> </w:t>
      </w:r>
    </w:p>
    <w:p w14:paraId="6764C7F6" w14:textId="1B574478" w:rsidR="4BED586E" w:rsidRPr="007C4EE8" w:rsidRDefault="4BED586E" w:rsidP="007C4EE8">
      <w:pPr>
        <w:spacing w:line="480" w:lineRule="auto"/>
        <w:rPr>
          <w:sz w:val="24"/>
          <w:szCs w:val="24"/>
        </w:rPr>
      </w:pPr>
      <w:r w:rsidRPr="007C4EE8">
        <w:rPr>
          <w:color w:val="000000" w:themeColor="text1"/>
          <w:sz w:val="24"/>
          <w:szCs w:val="24"/>
        </w:rPr>
        <w:t>AL-DABAGH, AMIR, SCOTT A DAVIS, AMY J MCMICHAEL, AND STEVEN R FELDMAN, 2014. Rosacea in Skin of Color: Not a Rare Diagnosis. Dermatology Online Journal 20, 10.</w:t>
      </w:r>
    </w:p>
    <w:p w14:paraId="52B20949" w14:textId="0CA628E0" w:rsidR="4BED586E" w:rsidRPr="007C4EE8" w:rsidRDefault="4BED586E" w:rsidP="007C4EE8">
      <w:pPr>
        <w:spacing w:line="480" w:lineRule="auto"/>
        <w:rPr>
          <w:sz w:val="24"/>
          <w:szCs w:val="24"/>
        </w:rPr>
      </w:pPr>
      <w:r w:rsidRPr="007C4EE8">
        <w:rPr>
          <w:color w:val="000000" w:themeColor="text1"/>
          <w:sz w:val="24"/>
          <w:szCs w:val="24"/>
        </w:rPr>
        <w:t xml:space="preserve"> </w:t>
      </w:r>
    </w:p>
    <w:p w14:paraId="34277D03" w14:textId="52DB2E2F" w:rsidR="4BED586E" w:rsidRPr="007C4EE8" w:rsidRDefault="4BED586E" w:rsidP="007C4EE8">
      <w:pPr>
        <w:spacing w:line="480" w:lineRule="auto"/>
        <w:rPr>
          <w:sz w:val="24"/>
          <w:szCs w:val="24"/>
        </w:rPr>
      </w:pPr>
      <w:r w:rsidRPr="007C4EE8">
        <w:rPr>
          <w:color w:val="000000" w:themeColor="text1"/>
          <w:sz w:val="24"/>
          <w:szCs w:val="24"/>
          <w:lang w:val="en-US"/>
        </w:rPr>
        <w:t xml:space="preserve">ALEXIS, A.F., CALLENDER, V.D., BALDWIN, H.E., DESAI, S.R., RENDON, M.I. and TAYLOR, S.C., 2019. Global epidemiology and clinical spectrum of rosacea, highlighting </w:t>
      </w:r>
      <w:bookmarkStart w:id="22" w:name="_Int_oXEBTQYz"/>
      <w:r w:rsidRPr="007C4EE8">
        <w:rPr>
          <w:color w:val="000000" w:themeColor="text1"/>
          <w:sz w:val="24"/>
          <w:szCs w:val="24"/>
          <w:lang w:val="en-US"/>
        </w:rPr>
        <w:t>skin of</w:t>
      </w:r>
      <w:bookmarkEnd w:id="22"/>
      <w:r w:rsidRPr="007C4EE8">
        <w:rPr>
          <w:color w:val="000000" w:themeColor="text1"/>
          <w:sz w:val="24"/>
          <w:szCs w:val="24"/>
          <w:lang w:val="en-US"/>
        </w:rPr>
        <w:t xml:space="preserve"> color: Review and clinical practice experience. Journal of the American Academy of Dermatology, 80(6), pp. 1722-1729.e7.</w:t>
      </w:r>
    </w:p>
    <w:p w14:paraId="75857197" w14:textId="13A0DF64" w:rsidR="4BED586E" w:rsidRPr="007C4EE8" w:rsidRDefault="4BED586E" w:rsidP="007C4EE8">
      <w:pPr>
        <w:spacing w:line="480" w:lineRule="auto"/>
        <w:rPr>
          <w:sz w:val="24"/>
          <w:szCs w:val="24"/>
        </w:rPr>
      </w:pPr>
      <w:r w:rsidRPr="007C4EE8">
        <w:rPr>
          <w:color w:val="000000" w:themeColor="text1"/>
          <w:sz w:val="24"/>
          <w:szCs w:val="24"/>
        </w:rPr>
        <w:t xml:space="preserve"> </w:t>
      </w:r>
    </w:p>
    <w:p w14:paraId="211F08D7" w14:textId="5A22C385" w:rsidR="4BED586E" w:rsidRPr="007C4EE8" w:rsidRDefault="4BED586E" w:rsidP="007C4EE8">
      <w:pPr>
        <w:spacing w:line="480" w:lineRule="auto"/>
        <w:rPr>
          <w:sz w:val="24"/>
          <w:szCs w:val="24"/>
        </w:rPr>
      </w:pPr>
      <w:r w:rsidRPr="007C4EE8">
        <w:rPr>
          <w:color w:val="000000" w:themeColor="text1"/>
          <w:sz w:val="24"/>
          <w:szCs w:val="24"/>
          <w:lang w:val="en-US"/>
        </w:rPr>
        <w:t xml:space="preserve">ALVIM, F. and ADDOR, S., 2016. Skin barrier in rosacea. </w:t>
      </w:r>
      <w:proofErr w:type="spellStart"/>
      <w:r w:rsidRPr="007C4EE8">
        <w:rPr>
          <w:color w:val="000000" w:themeColor="text1"/>
          <w:sz w:val="24"/>
          <w:szCs w:val="24"/>
          <w:lang w:val="en-US"/>
        </w:rPr>
        <w:t>FapUNIFESP</w:t>
      </w:r>
      <w:proofErr w:type="spellEnd"/>
      <w:r w:rsidRPr="007C4EE8">
        <w:rPr>
          <w:color w:val="000000" w:themeColor="text1"/>
          <w:sz w:val="24"/>
          <w:szCs w:val="24"/>
          <w:lang w:val="en-US"/>
        </w:rPr>
        <w:t xml:space="preserve"> (</w:t>
      </w:r>
      <w:proofErr w:type="spellStart"/>
      <w:r w:rsidRPr="007C4EE8">
        <w:rPr>
          <w:color w:val="000000" w:themeColor="text1"/>
          <w:sz w:val="24"/>
          <w:szCs w:val="24"/>
          <w:lang w:val="en-US"/>
        </w:rPr>
        <w:t>SciELO</w:t>
      </w:r>
      <w:proofErr w:type="spellEnd"/>
      <w:r w:rsidRPr="007C4EE8">
        <w:rPr>
          <w:color w:val="000000" w:themeColor="text1"/>
          <w:sz w:val="24"/>
          <w:szCs w:val="24"/>
          <w:lang w:val="en-US"/>
        </w:rPr>
        <w:t>).</w:t>
      </w:r>
    </w:p>
    <w:p w14:paraId="70C0EDEE" w14:textId="758D5A2A" w:rsidR="4BED586E" w:rsidRPr="007C4EE8" w:rsidRDefault="4BED586E" w:rsidP="007C4EE8">
      <w:pPr>
        <w:spacing w:line="480" w:lineRule="auto"/>
        <w:rPr>
          <w:sz w:val="24"/>
          <w:szCs w:val="24"/>
        </w:rPr>
      </w:pPr>
      <w:r w:rsidRPr="007C4EE8">
        <w:rPr>
          <w:color w:val="000000" w:themeColor="text1"/>
          <w:sz w:val="24"/>
          <w:szCs w:val="24"/>
        </w:rPr>
        <w:t xml:space="preserve"> </w:t>
      </w:r>
    </w:p>
    <w:p w14:paraId="553C8D46" w14:textId="0E073D91" w:rsidR="4BED586E" w:rsidRPr="007C4EE8" w:rsidRDefault="4BED586E" w:rsidP="007C4EE8">
      <w:pPr>
        <w:spacing w:line="480" w:lineRule="auto"/>
        <w:rPr>
          <w:sz w:val="24"/>
          <w:szCs w:val="24"/>
        </w:rPr>
      </w:pPr>
      <w:r w:rsidRPr="007C4EE8">
        <w:rPr>
          <w:color w:val="000000" w:themeColor="text1"/>
          <w:sz w:val="24"/>
          <w:szCs w:val="24"/>
        </w:rPr>
        <w:lastRenderedPageBreak/>
        <w:t>AMERICAN ACADEMY OF DERMATOLOGY ASSOCIATION, 2020-last update, HOW TO PREVENT ROSACEA FLARE-UPS. Available: https://www.aad.org/public/diseases/rosacea/triggers/prevent [11/13/, 2023].</w:t>
      </w:r>
    </w:p>
    <w:p w14:paraId="40400F97" w14:textId="11650D8D" w:rsidR="4BED586E" w:rsidRPr="007C4EE8" w:rsidRDefault="4BED586E" w:rsidP="007C4EE8">
      <w:pPr>
        <w:spacing w:line="480" w:lineRule="auto"/>
        <w:rPr>
          <w:sz w:val="24"/>
          <w:szCs w:val="24"/>
        </w:rPr>
      </w:pPr>
      <w:r w:rsidRPr="007C4EE8">
        <w:rPr>
          <w:color w:val="000000" w:themeColor="text1"/>
          <w:sz w:val="24"/>
          <w:szCs w:val="24"/>
        </w:rPr>
        <w:t xml:space="preserve"> </w:t>
      </w:r>
    </w:p>
    <w:p w14:paraId="45BE98CD" w14:textId="2AA41732" w:rsidR="4BED586E" w:rsidRPr="007C4EE8" w:rsidRDefault="4BED586E" w:rsidP="007C4EE8">
      <w:pPr>
        <w:spacing w:line="480" w:lineRule="auto"/>
        <w:rPr>
          <w:sz w:val="24"/>
          <w:szCs w:val="24"/>
        </w:rPr>
      </w:pPr>
      <w:r w:rsidRPr="007C4EE8">
        <w:rPr>
          <w:color w:val="000000" w:themeColor="text1"/>
          <w:sz w:val="24"/>
          <w:szCs w:val="24"/>
        </w:rPr>
        <w:t>AMERICAN ACADEMY OF DERMATOLOGY ASSOCIATION, 6 ROSACEA SKIN CARE TIPS DERMATOLOGISTS GIVE THEIR PATIENTS. Available: https://www.aad.org/public/diseases/rosacea/triggers/tips [11/13/, 2023].</w:t>
      </w:r>
    </w:p>
    <w:p w14:paraId="19BD7A9E" w14:textId="7771BB67" w:rsidR="4BED586E" w:rsidRPr="007C4EE8" w:rsidRDefault="4BED586E" w:rsidP="007C4EE8">
      <w:pPr>
        <w:spacing w:line="480" w:lineRule="auto"/>
        <w:rPr>
          <w:sz w:val="24"/>
          <w:szCs w:val="24"/>
        </w:rPr>
      </w:pPr>
      <w:r w:rsidRPr="007C4EE8">
        <w:rPr>
          <w:color w:val="000000" w:themeColor="text1"/>
          <w:sz w:val="24"/>
          <w:szCs w:val="24"/>
        </w:rPr>
        <w:t xml:space="preserve"> </w:t>
      </w:r>
    </w:p>
    <w:p w14:paraId="49B0D08B" w14:textId="7C4BC4F4" w:rsidR="4BED586E" w:rsidRPr="007C4EE8" w:rsidRDefault="4BED586E" w:rsidP="007C4EE8">
      <w:pPr>
        <w:spacing w:line="480" w:lineRule="auto"/>
        <w:rPr>
          <w:sz w:val="24"/>
          <w:szCs w:val="24"/>
        </w:rPr>
      </w:pPr>
      <w:r w:rsidRPr="007C4EE8">
        <w:rPr>
          <w:color w:val="000000" w:themeColor="text1"/>
          <w:sz w:val="24"/>
          <w:szCs w:val="24"/>
          <w:lang w:val="en-US"/>
        </w:rPr>
        <w:t xml:space="preserve">ARIEL L. BOTWIN, AJAY KAILAS, VICTORIA BARBOSA, SUSAN C. TAYLOR, STEVEN DAVELUY and RAWN E. BOSLEY, 2017. Approach to Treatment of Medical and Cosmetic Facial Concerns in </w:t>
      </w:r>
      <w:bookmarkStart w:id="23" w:name="_Int_imX6Ve6W"/>
      <w:r w:rsidRPr="007C4EE8">
        <w:rPr>
          <w:color w:val="000000" w:themeColor="text1"/>
          <w:sz w:val="24"/>
          <w:szCs w:val="24"/>
          <w:lang w:val="en-US"/>
        </w:rPr>
        <w:t>Skin of</w:t>
      </w:r>
      <w:bookmarkEnd w:id="23"/>
      <w:r w:rsidRPr="007C4EE8">
        <w:rPr>
          <w:color w:val="000000" w:themeColor="text1"/>
          <w:sz w:val="24"/>
          <w:szCs w:val="24"/>
          <w:lang w:val="en-US"/>
        </w:rPr>
        <w:t xml:space="preserve"> Color Patients. </w:t>
      </w:r>
      <w:proofErr w:type="spellStart"/>
      <w:r w:rsidRPr="007C4EE8">
        <w:rPr>
          <w:color w:val="000000" w:themeColor="text1"/>
          <w:sz w:val="24"/>
          <w:szCs w:val="24"/>
          <w:lang w:val="en-US"/>
        </w:rPr>
        <w:t>MDedge</w:t>
      </w:r>
      <w:proofErr w:type="spellEnd"/>
      <w:r w:rsidRPr="007C4EE8">
        <w:rPr>
          <w:color w:val="000000" w:themeColor="text1"/>
          <w:sz w:val="24"/>
          <w:szCs w:val="24"/>
          <w:lang w:val="en-US"/>
        </w:rPr>
        <w:t xml:space="preserve"> Dermatology, pp. 375-380.</w:t>
      </w:r>
    </w:p>
    <w:p w14:paraId="1D3E9FD9" w14:textId="19DF0E6F" w:rsidR="4BED586E" w:rsidRPr="007C4EE8" w:rsidRDefault="4BED586E" w:rsidP="007C4EE8">
      <w:pPr>
        <w:spacing w:line="480" w:lineRule="auto"/>
        <w:rPr>
          <w:sz w:val="24"/>
          <w:szCs w:val="24"/>
        </w:rPr>
      </w:pPr>
      <w:r w:rsidRPr="007C4EE8">
        <w:rPr>
          <w:color w:val="000000" w:themeColor="text1"/>
          <w:sz w:val="24"/>
          <w:szCs w:val="24"/>
        </w:rPr>
        <w:t xml:space="preserve"> </w:t>
      </w:r>
    </w:p>
    <w:p w14:paraId="2F0ED79A" w14:textId="33A1A959" w:rsidR="4BED586E" w:rsidRPr="007C4EE8" w:rsidRDefault="4BED586E" w:rsidP="007C4EE8">
      <w:pPr>
        <w:spacing w:line="480" w:lineRule="auto"/>
        <w:rPr>
          <w:sz w:val="24"/>
          <w:szCs w:val="24"/>
        </w:rPr>
      </w:pPr>
      <w:r w:rsidRPr="007C4EE8">
        <w:rPr>
          <w:color w:val="000000" w:themeColor="text1"/>
          <w:sz w:val="24"/>
          <w:szCs w:val="24"/>
          <w:lang w:val="en-US"/>
        </w:rPr>
        <w:t xml:space="preserve">CALLENDER, V., 2017-last update, Approach to Treatment of Medical and Cosmetic Facial Concerns in Skin of Color Patients [Homepage of </w:t>
      </w:r>
      <w:proofErr w:type="spellStart"/>
      <w:r w:rsidRPr="007C4EE8">
        <w:rPr>
          <w:color w:val="000000" w:themeColor="text1"/>
          <w:sz w:val="24"/>
          <w:szCs w:val="24"/>
          <w:lang w:val="en-US"/>
        </w:rPr>
        <w:t>MDedge</w:t>
      </w:r>
      <w:proofErr w:type="spellEnd"/>
      <w:r w:rsidRPr="007C4EE8">
        <w:rPr>
          <w:color w:val="000000" w:themeColor="text1"/>
          <w:sz w:val="24"/>
          <w:szCs w:val="24"/>
          <w:lang w:val="en-US"/>
        </w:rPr>
        <w:t xml:space="preserve"> Dermatology], [Online]. Available: https://www.mdedge.com/dermatology/article/153282/pigmentation-disorders/approach-treatment-medical-and-cosmetic-facial/page/0/1?reg=1 [2/12/, 2024].</w:t>
      </w:r>
    </w:p>
    <w:p w14:paraId="3AF2C3D3" w14:textId="7E95637C" w:rsidR="4BED586E" w:rsidRPr="007C4EE8" w:rsidRDefault="4BED586E" w:rsidP="007C4EE8">
      <w:pPr>
        <w:spacing w:line="480" w:lineRule="auto"/>
        <w:rPr>
          <w:sz w:val="24"/>
          <w:szCs w:val="24"/>
        </w:rPr>
      </w:pPr>
      <w:r w:rsidRPr="007C4EE8">
        <w:rPr>
          <w:color w:val="000000" w:themeColor="text1"/>
          <w:sz w:val="24"/>
          <w:szCs w:val="24"/>
        </w:rPr>
        <w:t xml:space="preserve"> </w:t>
      </w:r>
    </w:p>
    <w:p w14:paraId="34CD4AA2" w14:textId="68FEA986" w:rsidR="4BED586E" w:rsidRPr="007C4EE8" w:rsidRDefault="4BED586E" w:rsidP="007C4EE8">
      <w:pPr>
        <w:spacing w:line="480" w:lineRule="auto"/>
        <w:rPr>
          <w:sz w:val="24"/>
          <w:szCs w:val="24"/>
        </w:rPr>
      </w:pPr>
      <w:r w:rsidRPr="007C4EE8">
        <w:rPr>
          <w:color w:val="000000" w:themeColor="text1"/>
          <w:sz w:val="24"/>
          <w:szCs w:val="24"/>
        </w:rPr>
        <w:t>DEL ROSSO, J.Q., 2017. Azelaic Acid Topical Formulations: Differentiation of 15% Gel and 15% Foam. The Journal of clinical and aesthetic dermatology, 10(3), pp. 37-40.</w:t>
      </w:r>
    </w:p>
    <w:p w14:paraId="2CC2B42A" w14:textId="12DA4738" w:rsidR="4BED586E" w:rsidRPr="007C4EE8" w:rsidRDefault="4BED586E" w:rsidP="007C4EE8">
      <w:pPr>
        <w:spacing w:line="480" w:lineRule="auto"/>
        <w:rPr>
          <w:sz w:val="24"/>
          <w:szCs w:val="24"/>
        </w:rPr>
      </w:pPr>
      <w:r w:rsidRPr="007C4EE8">
        <w:rPr>
          <w:color w:val="000000" w:themeColor="text1"/>
          <w:sz w:val="24"/>
          <w:szCs w:val="24"/>
        </w:rPr>
        <w:t xml:space="preserve"> </w:t>
      </w:r>
    </w:p>
    <w:p w14:paraId="6FFCD3F8" w14:textId="60474BBE" w:rsidR="4BED586E" w:rsidRPr="007C4EE8" w:rsidRDefault="4BED586E" w:rsidP="007C4EE8">
      <w:pPr>
        <w:spacing w:line="480" w:lineRule="auto"/>
        <w:rPr>
          <w:sz w:val="24"/>
          <w:szCs w:val="24"/>
        </w:rPr>
      </w:pPr>
      <w:r w:rsidRPr="007C4EE8">
        <w:rPr>
          <w:color w:val="000000" w:themeColor="text1"/>
          <w:sz w:val="24"/>
          <w:szCs w:val="24"/>
          <w:lang w:val="en-US"/>
        </w:rPr>
        <w:lastRenderedPageBreak/>
        <w:t xml:space="preserve">ENGINYURT, O., KARAMAN, U., CETIN, F. and OZER, A., 2015. The Prevalence of Demodex Species and Its Relationship with the Metabolic Syndrome in Women of Malatya Province, Turkey. </w:t>
      </w:r>
      <w:proofErr w:type="spellStart"/>
      <w:r w:rsidRPr="007C4EE8">
        <w:rPr>
          <w:color w:val="000000" w:themeColor="text1"/>
          <w:sz w:val="24"/>
          <w:szCs w:val="24"/>
          <w:lang w:val="en-US"/>
        </w:rPr>
        <w:t>Jundishapur</w:t>
      </w:r>
      <w:proofErr w:type="spellEnd"/>
      <w:r w:rsidRPr="007C4EE8">
        <w:rPr>
          <w:color w:val="000000" w:themeColor="text1"/>
          <w:sz w:val="24"/>
          <w:szCs w:val="24"/>
          <w:lang w:val="en-US"/>
        </w:rPr>
        <w:t xml:space="preserve"> journal of microbiology, 8(10), pp. e24322.</w:t>
      </w:r>
    </w:p>
    <w:p w14:paraId="368366D2" w14:textId="697006A7" w:rsidR="4BED586E" w:rsidRPr="007C4EE8" w:rsidRDefault="4BED586E" w:rsidP="007C4EE8">
      <w:pPr>
        <w:spacing w:line="480" w:lineRule="auto"/>
        <w:rPr>
          <w:sz w:val="24"/>
          <w:szCs w:val="24"/>
        </w:rPr>
      </w:pPr>
      <w:r w:rsidRPr="007C4EE8">
        <w:rPr>
          <w:color w:val="000000" w:themeColor="text1"/>
          <w:sz w:val="24"/>
          <w:szCs w:val="24"/>
        </w:rPr>
        <w:t xml:space="preserve"> </w:t>
      </w:r>
    </w:p>
    <w:p w14:paraId="58BF7EB2" w14:textId="1D553C76" w:rsidR="4BED586E" w:rsidRPr="007C4EE8" w:rsidRDefault="4BED586E" w:rsidP="007C4EE8">
      <w:pPr>
        <w:spacing w:line="480" w:lineRule="auto"/>
        <w:rPr>
          <w:sz w:val="24"/>
          <w:szCs w:val="24"/>
        </w:rPr>
      </w:pPr>
      <w:r w:rsidRPr="007C4EE8">
        <w:rPr>
          <w:color w:val="000000" w:themeColor="text1"/>
          <w:sz w:val="24"/>
          <w:szCs w:val="24"/>
        </w:rPr>
        <w:t>GETHER, L., OVERGAARD, L.K., EGEBERG, A. and THYSSEN, J.P., 2018. Incidence and prevalence of rosacea: a systematic review and meta-analysis. The British journal of dermatology, 179(2), pp. 282-289.</w:t>
      </w:r>
    </w:p>
    <w:p w14:paraId="6D16FF67" w14:textId="1AF03A65" w:rsidR="4BED586E" w:rsidRPr="007C4EE8" w:rsidRDefault="4BED586E" w:rsidP="007C4EE8">
      <w:pPr>
        <w:spacing w:line="480" w:lineRule="auto"/>
        <w:rPr>
          <w:sz w:val="24"/>
          <w:szCs w:val="24"/>
        </w:rPr>
      </w:pPr>
      <w:r w:rsidRPr="007C4EE8">
        <w:rPr>
          <w:color w:val="000000" w:themeColor="text1"/>
          <w:sz w:val="24"/>
          <w:szCs w:val="24"/>
        </w:rPr>
        <w:t xml:space="preserve"> </w:t>
      </w:r>
    </w:p>
    <w:p w14:paraId="228A06C0" w14:textId="651E3810" w:rsidR="4BED586E" w:rsidRPr="007C4EE8" w:rsidRDefault="4BED586E" w:rsidP="007C4EE8">
      <w:pPr>
        <w:spacing w:line="480" w:lineRule="auto"/>
        <w:rPr>
          <w:sz w:val="24"/>
          <w:szCs w:val="24"/>
        </w:rPr>
      </w:pPr>
      <w:r w:rsidRPr="007C4EE8">
        <w:rPr>
          <w:color w:val="000000" w:themeColor="text1"/>
          <w:sz w:val="24"/>
          <w:szCs w:val="24"/>
        </w:rPr>
        <w:t>HARPER, J.M., 1996-last update, Now Widely Recognized, Rosacea was First Noted in 14th Century. Available: https://www.rosacea.org/rosacea-review/1996/winter/now-widely-recognized-rosacea-was-first-noted-in-14th-century#:~:text=National%20Rosacea%20Society-,Now%20Widely%20Recognized%2C%20Rosacea%20Was%20First%20Noted%20in%2014th%20Century,condition%20that%20requires%20specific%20therapy. [11/13/, 2023].</w:t>
      </w:r>
    </w:p>
    <w:p w14:paraId="6601D7EF" w14:textId="74CF9A65" w:rsidR="4BED586E" w:rsidRPr="007C4EE8" w:rsidRDefault="4BED586E" w:rsidP="007C4EE8">
      <w:pPr>
        <w:spacing w:line="480" w:lineRule="auto"/>
        <w:rPr>
          <w:sz w:val="24"/>
          <w:szCs w:val="24"/>
        </w:rPr>
      </w:pPr>
      <w:r w:rsidRPr="007C4EE8">
        <w:rPr>
          <w:color w:val="000000" w:themeColor="text1"/>
          <w:sz w:val="24"/>
          <w:szCs w:val="24"/>
        </w:rPr>
        <w:t xml:space="preserve"> </w:t>
      </w:r>
    </w:p>
    <w:p w14:paraId="2BC83EAF" w14:textId="06D2293F" w:rsidR="4BED586E" w:rsidRPr="007C4EE8" w:rsidRDefault="4BED586E" w:rsidP="007C4EE8">
      <w:pPr>
        <w:spacing w:line="480" w:lineRule="auto"/>
        <w:rPr>
          <w:sz w:val="24"/>
          <w:szCs w:val="24"/>
        </w:rPr>
      </w:pPr>
      <w:r w:rsidRPr="007C4EE8">
        <w:rPr>
          <w:color w:val="000000" w:themeColor="text1"/>
          <w:sz w:val="24"/>
          <w:szCs w:val="24"/>
        </w:rPr>
        <w:t>HILBRING, C., AUGUSTIN, M., KIRSTEN, N. and MOHR, N., 2022. Epidemiology of rosacea in a population-based study of 161,269 German employees. International journal of dermatology, 61(5), pp. 570-576.</w:t>
      </w:r>
    </w:p>
    <w:p w14:paraId="284CBFC5" w14:textId="2FBFACB2" w:rsidR="4BED586E" w:rsidRPr="007C4EE8" w:rsidRDefault="4BED586E" w:rsidP="007C4EE8">
      <w:pPr>
        <w:spacing w:line="480" w:lineRule="auto"/>
        <w:rPr>
          <w:sz w:val="24"/>
          <w:szCs w:val="24"/>
        </w:rPr>
      </w:pPr>
      <w:r w:rsidRPr="007C4EE8">
        <w:rPr>
          <w:color w:val="000000" w:themeColor="text1"/>
          <w:sz w:val="24"/>
          <w:szCs w:val="24"/>
        </w:rPr>
        <w:t xml:space="preserve"> </w:t>
      </w:r>
    </w:p>
    <w:p w14:paraId="6B88A4A4" w14:textId="3782243D" w:rsidR="4BED586E" w:rsidRPr="007C4EE8" w:rsidRDefault="4BED586E" w:rsidP="007C4EE8">
      <w:pPr>
        <w:spacing w:line="480" w:lineRule="auto"/>
        <w:rPr>
          <w:sz w:val="24"/>
          <w:szCs w:val="24"/>
        </w:rPr>
      </w:pPr>
      <w:r w:rsidRPr="007C4EE8">
        <w:rPr>
          <w:color w:val="000000" w:themeColor="text1"/>
          <w:sz w:val="24"/>
          <w:szCs w:val="24"/>
        </w:rPr>
        <w:t>J. TAN, M. STEINHOFF, M. BERG, J. DEL ROSSO, A. LAYTON, J. LEYDEN, J. SCHAUBER, M. SCHALLER, B. CRIBIER, D. THIBOUTOT, G. WEBSTER, THE ROSACEA INTERNATIONAL STUDY GROUP, 2017. Shortcomings in rosacea diagnosis and classification. British Journal of Dermatology, 176(1), pp. 197-199.</w:t>
      </w:r>
    </w:p>
    <w:p w14:paraId="57B5217A" w14:textId="21B68E8B" w:rsidR="4BED586E" w:rsidRPr="007C4EE8" w:rsidRDefault="4BED586E" w:rsidP="007C4EE8">
      <w:pPr>
        <w:spacing w:line="480" w:lineRule="auto"/>
        <w:rPr>
          <w:sz w:val="24"/>
          <w:szCs w:val="24"/>
        </w:rPr>
      </w:pPr>
      <w:r w:rsidRPr="007C4EE8">
        <w:rPr>
          <w:color w:val="000000" w:themeColor="text1"/>
          <w:sz w:val="24"/>
          <w:szCs w:val="24"/>
        </w:rPr>
        <w:lastRenderedPageBreak/>
        <w:t xml:space="preserve"> </w:t>
      </w:r>
    </w:p>
    <w:p w14:paraId="123A16CD" w14:textId="42640C98" w:rsidR="4BED586E" w:rsidRPr="007C4EE8" w:rsidRDefault="4BED586E" w:rsidP="007C4EE8">
      <w:pPr>
        <w:spacing w:line="480" w:lineRule="auto"/>
        <w:rPr>
          <w:color w:val="000000" w:themeColor="text1"/>
          <w:sz w:val="24"/>
          <w:szCs w:val="24"/>
          <w:lang w:val="en-US"/>
        </w:rPr>
      </w:pPr>
      <w:r w:rsidRPr="007C4EE8">
        <w:rPr>
          <w:color w:val="000000" w:themeColor="text1"/>
          <w:sz w:val="24"/>
          <w:szCs w:val="24"/>
          <w:lang w:val="en-US"/>
        </w:rPr>
        <w:t xml:space="preserve">MALIYAR, K. and SONYA J ABDULLA, 2022. dermatology: How to Manage Rosacea in Skin of </w:t>
      </w:r>
      <w:proofErr w:type="spellStart"/>
      <w:r w:rsidRPr="007C4EE8">
        <w:rPr>
          <w:color w:val="000000" w:themeColor="text1"/>
          <w:sz w:val="24"/>
          <w:szCs w:val="24"/>
          <w:lang w:val="en-US"/>
        </w:rPr>
        <w:t>Colour</w:t>
      </w:r>
      <w:proofErr w:type="spellEnd"/>
      <w:r w:rsidRPr="007C4EE8">
        <w:rPr>
          <w:color w:val="000000" w:themeColor="text1"/>
          <w:sz w:val="24"/>
          <w:szCs w:val="24"/>
          <w:lang w:val="en-US"/>
        </w:rPr>
        <w:t>. Drugs in Context, 1(9).</w:t>
      </w:r>
    </w:p>
    <w:p w14:paraId="3252B287" w14:textId="65461B9D" w:rsidR="4BED586E" w:rsidRPr="007C4EE8" w:rsidRDefault="4BED586E" w:rsidP="007C4EE8">
      <w:pPr>
        <w:spacing w:line="480" w:lineRule="auto"/>
        <w:rPr>
          <w:sz w:val="24"/>
          <w:szCs w:val="24"/>
        </w:rPr>
      </w:pPr>
      <w:r w:rsidRPr="007C4EE8">
        <w:rPr>
          <w:color w:val="000000" w:themeColor="text1"/>
          <w:sz w:val="24"/>
          <w:szCs w:val="24"/>
        </w:rPr>
        <w:t xml:space="preserve"> </w:t>
      </w:r>
    </w:p>
    <w:p w14:paraId="39068399" w14:textId="1DEE7CDB" w:rsidR="4BED586E" w:rsidRPr="007C4EE8" w:rsidRDefault="4BED586E" w:rsidP="007C4EE8">
      <w:pPr>
        <w:spacing w:line="480" w:lineRule="auto"/>
        <w:rPr>
          <w:sz w:val="24"/>
          <w:szCs w:val="24"/>
        </w:rPr>
      </w:pPr>
      <w:r w:rsidRPr="007C4EE8">
        <w:rPr>
          <w:color w:val="000000" w:themeColor="text1"/>
          <w:sz w:val="24"/>
          <w:szCs w:val="24"/>
        </w:rPr>
        <w:t>NATIONAL INSTITUTE OF ARTHRITIS AND MUSCULOSKELETAL AND SKIN DISEASE, May 2021-last update, Rosacea. Available: https://www.niams.nih.gov/health-topics/rosacea#:~:text=Rosacea%20is%20a%20long%2Dterm,emotional%20stress%2C%20bring%20them%20on. [10/11/, 2023].</w:t>
      </w:r>
    </w:p>
    <w:p w14:paraId="0E3B7D42" w14:textId="2A0F19EB" w:rsidR="4BED586E" w:rsidRPr="007C4EE8" w:rsidRDefault="4BED586E" w:rsidP="007C4EE8">
      <w:pPr>
        <w:spacing w:line="480" w:lineRule="auto"/>
        <w:rPr>
          <w:sz w:val="24"/>
          <w:szCs w:val="24"/>
        </w:rPr>
      </w:pPr>
      <w:r w:rsidRPr="007C4EE8">
        <w:rPr>
          <w:color w:val="000000" w:themeColor="text1"/>
          <w:sz w:val="24"/>
          <w:szCs w:val="24"/>
        </w:rPr>
        <w:t xml:space="preserve"> </w:t>
      </w:r>
    </w:p>
    <w:p w14:paraId="00203195" w14:textId="222ACCEC" w:rsidR="4BED586E" w:rsidRPr="007C4EE8" w:rsidRDefault="4BED586E" w:rsidP="007C4EE8">
      <w:pPr>
        <w:spacing w:line="480" w:lineRule="auto"/>
        <w:rPr>
          <w:sz w:val="24"/>
          <w:szCs w:val="24"/>
        </w:rPr>
      </w:pPr>
      <w:r w:rsidRPr="007C4EE8">
        <w:rPr>
          <w:color w:val="000000" w:themeColor="text1"/>
          <w:sz w:val="24"/>
          <w:szCs w:val="24"/>
        </w:rPr>
        <w:t>NA-YOUNG KANG, C., SHAH, M. and TAN, J., 2021-last update, Rosacea: An Update in Diagnosis, Classification and Management [Homepage of Skin Therapy Letter], [Online]. Available: https://www.skintherapyletter.com/rosacea/update-diagnosis-management/ [2/12/, 2024].</w:t>
      </w:r>
    </w:p>
    <w:p w14:paraId="5BE7FAB4" w14:textId="40950FF3" w:rsidR="4BED586E" w:rsidRPr="007C4EE8" w:rsidRDefault="4BED586E" w:rsidP="007C4EE8">
      <w:pPr>
        <w:spacing w:line="480" w:lineRule="auto"/>
        <w:rPr>
          <w:sz w:val="24"/>
          <w:szCs w:val="24"/>
        </w:rPr>
      </w:pPr>
      <w:r w:rsidRPr="007C4EE8">
        <w:rPr>
          <w:color w:val="000000" w:themeColor="text1"/>
          <w:sz w:val="24"/>
          <w:szCs w:val="24"/>
        </w:rPr>
        <w:t xml:space="preserve"> </w:t>
      </w:r>
    </w:p>
    <w:p w14:paraId="400334F8" w14:textId="1D6195BF" w:rsidR="4BED586E" w:rsidRPr="007C4EE8" w:rsidRDefault="4BED586E" w:rsidP="007C4EE8">
      <w:pPr>
        <w:spacing w:line="480" w:lineRule="auto"/>
        <w:rPr>
          <w:sz w:val="24"/>
          <w:szCs w:val="24"/>
        </w:rPr>
      </w:pPr>
      <w:r w:rsidRPr="007C4EE8">
        <w:rPr>
          <w:color w:val="000000" w:themeColor="text1"/>
          <w:sz w:val="24"/>
          <w:szCs w:val="24"/>
          <w:lang w:val="en-US"/>
        </w:rPr>
        <w:t xml:space="preserve">PREMIER CONSULTING, August 2015-last update, A Review of the Regulatory History of Azelaic </w:t>
      </w:r>
      <w:proofErr w:type="gramStart"/>
      <w:r w:rsidRPr="007C4EE8">
        <w:rPr>
          <w:color w:val="000000" w:themeColor="text1"/>
          <w:sz w:val="24"/>
          <w:szCs w:val="24"/>
          <w:lang w:val="en-US"/>
        </w:rPr>
        <w:t>Acid</w:t>
      </w:r>
      <w:proofErr w:type="gramEnd"/>
      <w:r w:rsidRPr="007C4EE8">
        <w:rPr>
          <w:color w:val="000000" w:themeColor="text1"/>
          <w:sz w:val="24"/>
          <w:szCs w:val="24"/>
          <w:lang w:val="en-US"/>
        </w:rPr>
        <w:t xml:space="preserve"> and the Changing Requirements at FDA. Available: https://premierconsulting.com/resources/blog/changing-face-a-review-of-the-regulatory-history-of-azelaic-acid-and-the-changing-requirements-at-fda/#:~:text=Azelaic%20acid%20was%20first%20approved,Azelex%C2%AE%3B%20NDA%20020428). [February 2024].</w:t>
      </w:r>
    </w:p>
    <w:p w14:paraId="1E10721A" w14:textId="20E160C6" w:rsidR="4BED586E" w:rsidRPr="007C4EE8" w:rsidRDefault="4BED586E" w:rsidP="007C4EE8">
      <w:pPr>
        <w:spacing w:line="480" w:lineRule="auto"/>
        <w:rPr>
          <w:sz w:val="24"/>
          <w:szCs w:val="24"/>
        </w:rPr>
      </w:pPr>
      <w:r w:rsidRPr="007C4EE8">
        <w:rPr>
          <w:color w:val="000000" w:themeColor="text1"/>
          <w:sz w:val="24"/>
          <w:szCs w:val="24"/>
        </w:rPr>
        <w:t xml:space="preserve"> </w:t>
      </w:r>
    </w:p>
    <w:p w14:paraId="42A2FA99" w14:textId="246A7706" w:rsidR="4BED586E" w:rsidRPr="007C4EE8" w:rsidRDefault="4BED586E" w:rsidP="007C4EE8">
      <w:pPr>
        <w:spacing w:line="480" w:lineRule="auto"/>
        <w:rPr>
          <w:sz w:val="24"/>
          <w:szCs w:val="24"/>
        </w:rPr>
      </w:pPr>
      <w:r w:rsidRPr="007C4EE8">
        <w:rPr>
          <w:color w:val="000000" w:themeColor="text1"/>
          <w:sz w:val="24"/>
          <w:szCs w:val="24"/>
          <w:lang w:val="en-US"/>
        </w:rPr>
        <w:lastRenderedPageBreak/>
        <w:t xml:space="preserve">RAINER, B.M., KANG, </w:t>
      </w:r>
      <w:proofErr w:type="gramStart"/>
      <w:r w:rsidRPr="007C4EE8">
        <w:rPr>
          <w:color w:val="000000" w:themeColor="text1"/>
          <w:sz w:val="24"/>
          <w:szCs w:val="24"/>
          <w:lang w:val="en-US"/>
        </w:rPr>
        <w:t>S.</w:t>
      </w:r>
      <w:proofErr w:type="gramEnd"/>
      <w:r w:rsidRPr="007C4EE8">
        <w:rPr>
          <w:color w:val="000000" w:themeColor="text1"/>
          <w:sz w:val="24"/>
          <w:szCs w:val="24"/>
          <w:lang w:val="en-US"/>
        </w:rPr>
        <w:t xml:space="preserve"> and CHIEN, A.L., 2017. Rosacea: Epidemiology, pathogenesis, and treatment. Dermato-endocrinology, 9(1), pp. e1361574.</w:t>
      </w:r>
    </w:p>
    <w:p w14:paraId="3B5F0C0F" w14:textId="1055B607" w:rsidR="4BED586E" w:rsidRPr="007C4EE8" w:rsidRDefault="4BED586E" w:rsidP="007C4EE8">
      <w:pPr>
        <w:spacing w:line="480" w:lineRule="auto"/>
        <w:rPr>
          <w:sz w:val="24"/>
          <w:szCs w:val="24"/>
        </w:rPr>
      </w:pPr>
      <w:r w:rsidRPr="007C4EE8">
        <w:rPr>
          <w:color w:val="000000" w:themeColor="text1"/>
          <w:sz w:val="24"/>
          <w:szCs w:val="24"/>
        </w:rPr>
        <w:t xml:space="preserve"> </w:t>
      </w:r>
    </w:p>
    <w:p w14:paraId="2BBB98B8" w14:textId="00ED41A5" w:rsidR="4BED586E" w:rsidRPr="007C4EE8" w:rsidRDefault="4BED586E" w:rsidP="007C4EE8">
      <w:pPr>
        <w:spacing w:line="480" w:lineRule="auto"/>
        <w:rPr>
          <w:sz w:val="24"/>
          <w:szCs w:val="24"/>
        </w:rPr>
      </w:pPr>
      <w:r w:rsidRPr="007C4EE8">
        <w:rPr>
          <w:color w:val="000000" w:themeColor="text1"/>
          <w:sz w:val="24"/>
          <w:szCs w:val="24"/>
          <w:lang w:val="en-US"/>
        </w:rPr>
        <w:t xml:space="preserve">STEINHOFF M, &amp; BUDDENKOTTE J ROSACEA. KANG S, &amp; AMAGAI M, &amp; BRUCKNER A.L., &amp; ENK A.H., &amp; MARGOLIS D.J., &amp; MCMICHAEL A.J., &amp; ORRINGER J.S.(EDS.), 2019. Fitzpatrick's Dermatology. 9th </w:t>
      </w:r>
      <w:proofErr w:type="spellStart"/>
      <w:r w:rsidRPr="007C4EE8">
        <w:rPr>
          <w:color w:val="000000" w:themeColor="text1"/>
          <w:sz w:val="24"/>
          <w:szCs w:val="24"/>
          <w:lang w:val="en-US"/>
        </w:rPr>
        <w:t>edn</w:t>
      </w:r>
      <w:proofErr w:type="spellEnd"/>
      <w:r w:rsidRPr="007C4EE8">
        <w:rPr>
          <w:color w:val="000000" w:themeColor="text1"/>
          <w:sz w:val="24"/>
          <w:szCs w:val="24"/>
          <w:lang w:val="en-US"/>
        </w:rPr>
        <w:t>. McGraw-Hill Education.</w:t>
      </w:r>
    </w:p>
    <w:p w14:paraId="491E5D62" w14:textId="3F578CCC" w:rsidR="4BED586E" w:rsidRPr="007C4EE8" w:rsidRDefault="4BED586E" w:rsidP="007C4EE8">
      <w:pPr>
        <w:spacing w:line="480" w:lineRule="auto"/>
        <w:rPr>
          <w:sz w:val="24"/>
          <w:szCs w:val="24"/>
        </w:rPr>
      </w:pPr>
      <w:r w:rsidRPr="007C4EE8">
        <w:rPr>
          <w:color w:val="000000" w:themeColor="text1"/>
          <w:sz w:val="24"/>
          <w:szCs w:val="24"/>
        </w:rPr>
        <w:t xml:space="preserve"> </w:t>
      </w:r>
    </w:p>
    <w:p w14:paraId="36CB9C92" w14:textId="4231AAE4" w:rsidR="4BED586E" w:rsidRPr="007C4EE8" w:rsidRDefault="4BED586E" w:rsidP="007C4EE8">
      <w:pPr>
        <w:spacing w:line="480" w:lineRule="auto"/>
        <w:rPr>
          <w:sz w:val="24"/>
          <w:szCs w:val="24"/>
        </w:rPr>
      </w:pPr>
      <w:r w:rsidRPr="007C4EE8">
        <w:rPr>
          <w:color w:val="000000" w:themeColor="text1"/>
          <w:sz w:val="24"/>
          <w:szCs w:val="24"/>
          <w:lang w:val="en-US"/>
        </w:rPr>
        <w:t xml:space="preserve">TAN, J., STEINHOFF, M., BERG, M., DEL ROSSO, J., LAYTON, A., LEYDEN, J., SCHAUBER, J., SCHALLER, M., CRIBIER, B., THIBOUTOT, D., WEBSTER, </w:t>
      </w:r>
      <w:proofErr w:type="gramStart"/>
      <w:r w:rsidRPr="007C4EE8">
        <w:rPr>
          <w:color w:val="000000" w:themeColor="text1"/>
          <w:sz w:val="24"/>
          <w:szCs w:val="24"/>
          <w:lang w:val="en-US"/>
        </w:rPr>
        <w:t>G.</w:t>
      </w:r>
      <w:proofErr w:type="gramEnd"/>
      <w:r w:rsidRPr="007C4EE8">
        <w:rPr>
          <w:color w:val="000000" w:themeColor="text1"/>
          <w:sz w:val="24"/>
          <w:szCs w:val="24"/>
          <w:lang w:val="en-US"/>
        </w:rPr>
        <w:t xml:space="preserve"> and ROSACEA INTERNATIONAL STUDY GROUP, 2017. Shortcomings in rosacea diagnosis and classification. The British journal of dermatology, 176(1), pp. 197-199.</w:t>
      </w:r>
    </w:p>
    <w:p w14:paraId="1768ADA3" w14:textId="35A40BBB" w:rsidR="4BED586E" w:rsidRPr="007C4EE8" w:rsidRDefault="4BED586E" w:rsidP="007C4EE8">
      <w:pPr>
        <w:spacing w:line="480" w:lineRule="auto"/>
        <w:rPr>
          <w:sz w:val="24"/>
          <w:szCs w:val="24"/>
        </w:rPr>
      </w:pPr>
      <w:r w:rsidRPr="007C4EE8">
        <w:rPr>
          <w:color w:val="000000" w:themeColor="text1"/>
          <w:sz w:val="24"/>
          <w:szCs w:val="24"/>
        </w:rPr>
        <w:t xml:space="preserve"> </w:t>
      </w:r>
    </w:p>
    <w:p w14:paraId="14CBCC9B" w14:textId="1830853B" w:rsidR="4BED586E" w:rsidRPr="007C4EE8" w:rsidRDefault="4BED586E" w:rsidP="007C4EE8">
      <w:pPr>
        <w:spacing w:line="480" w:lineRule="auto"/>
        <w:rPr>
          <w:sz w:val="24"/>
          <w:szCs w:val="24"/>
        </w:rPr>
      </w:pPr>
      <w:r w:rsidRPr="007C4EE8">
        <w:rPr>
          <w:color w:val="000000" w:themeColor="text1"/>
          <w:sz w:val="24"/>
          <w:szCs w:val="24"/>
        </w:rPr>
        <w:t xml:space="preserve">UNKNOWN, December 2023-last update, Reports </w:t>
      </w:r>
      <w:r w:rsidR="3F35951E" w:rsidRPr="007C4EE8">
        <w:rPr>
          <w:color w:val="000000" w:themeColor="text1"/>
          <w:sz w:val="24"/>
          <w:szCs w:val="24"/>
        </w:rPr>
        <w:t>on</w:t>
      </w:r>
      <w:r w:rsidRPr="007C4EE8">
        <w:rPr>
          <w:color w:val="000000" w:themeColor="text1"/>
          <w:sz w:val="24"/>
          <w:szCs w:val="24"/>
        </w:rPr>
        <w:t xml:space="preserve"> Completed Research. Available: https://www.rosacea.org/grants/reports-on-completed-research [February 2024].</w:t>
      </w:r>
    </w:p>
    <w:p w14:paraId="21BE4A38" w14:textId="2B7F808A" w:rsidR="4BED586E" w:rsidRPr="007C4EE8" w:rsidRDefault="4BED586E" w:rsidP="007C4EE8">
      <w:pPr>
        <w:spacing w:line="480" w:lineRule="auto"/>
        <w:rPr>
          <w:sz w:val="24"/>
          <w:szCs w:val="24"/>
        </w:rPr>
      </w:pPr>
      <w:r w:rsidRPr="007C4EE8">
        <w:rPr>
          <w:color w:val="000000" w:themeColor="text1"/>
          <w:sz w:val="24"/>
          <w:szCs w:val="24"/>
        </w:rPr>
        <w:t xml:space="preserve"> </w:t>
      </w:r>
    </w:p>
    <w:p w14:paraId="6D51CF16" w14:textId="7110CDA8" w:rsidR="4BED586E" w:rsidRPr="007C4EE8" w:rsidRDefault="4BED586E" w:rsidP="007C4EE8">
      <w:pPr>
        <w:spacing w:line="480" w:lineRule="auto"/>
        <w:rPr>
          <w:sz w:val="24"/>
          <w:szCs w:val="24"/>
        </w:rPr>
      </w:pPr>
      <w:r w:rsidRPr="007C4EE8">
        <w:rPr>
          <w:color w:val="000000" w:themeColor="text1"/>
          <w:sz w:val="24"/>
          <w:szCs w:val="24"/>
        </w:rPr>
        <w:t>VICTORIAN DERMAL GROUP, Apr 6, 2020-last update, Rosacea treatment options. Available: https://www.victoriandermalgroup.com.au/information-centre/how-to-reduce-the-appearance-of-rosacea [11.13., 2023].</w:t>
      </w:r>
    </w:p>
    <w:p w14:paraId="32C4D06A" w14:textId="27F204B4" w:rsidR="4BED586E" w:rsidRPr="007C4EE8" w:rsidRDefault="4BED586E" w:rsidP="007C4EE8">
      <w:pPr>
        <w:spacing w:line="480" w:lineRule="auto"/>
        <w:rPr>
          <w:sz w:val="24"/>
          <w:szCs w:val="24"/>
        </w:rPr>
      </w:pPr>
      <w:r w:rsidRPr="007C4EE8">
        <w:rPr>
          <w:color w:val="000000" w:themeColor="text1"/>
          <w:sz w:val="24"/>
          <w:szCs w:val="24"/>
        </w:rPr>
        <w:t xml:space="preserve"> </w:t>
      </w:r>
    </w:p>
    <w:p w14:paraId="3887FEB1" w14:textId="74175528" w:rsidR="4BED586E" w:rsidRPr="007C4EE8" w:rsidRDefault="4BED586E" w:rsidP="007C4EE8">
      <w:pPr>
        <w:spacing w:line="480" w:lineRule="auto"/>
        <w:rPr>
          <w:sz w:val="24"/>
          <w:szCs w:val="24"/>
        </w:rPr>
      </w:pPr>
      <w:r w:rsidRPr="007C4EE8">
        <w:rPr>
          <w:color w:val="000000" w:themeColor="text1"/>
          <w:sz w:val="24"/>
          <w:szCs w:val="24"/>
        </w:rPr>
        <w:t>WEISS, E. and KATTA, R., 2017. Diet and rosacea: the role of dietary change in the management of rosacea. Dermatology practical &amp; conceptual, 7(4), pp. 31-37.</w:t>
      </w:r>
    </w:p>
    <w:p w14:paraId="10E48A14" w14:textId="09FB0009" w:rsidR="4BED586E" w:rsidRPr="007C4EE8" w:rsidRDefault="4BED586E" w:rsidP="007C4EE8">
      <w:pPr>
        <w:spacing w:line="480" w:lineRule="auto"/>
        <w:rPr>
          <w:sz w:val="24"/>
          <w:szCs w:val="24"/>
        </w:rPr>
      </w:pPr>
      <w:r w:rsidRPr="007C4EE8">
        <w:rPr>
          <w:color w:val="000000" w:themeColor="text1"/>
          <w:sz w:val="24"/>
          <w:szCs w:val="24"/>
        </w:rPr>
        <w:t xml:space="preserve"> </w:t>
      </w:r>
    </w:p>
    <w:p w14:paraId="59848BB7" w14:textId="06AA080F" w:rsidR="4BED586E" w:rsidRPr="007C4EE8" w:rsidRDefault="4BED586E" w:rsidP="007C4EE8">
      <w:pPr>
        <w:spacing w:line="480" w:lineRule="auto"/>
        <w:rPr>
          <w:sz w:val="24"/>
          <w:szCs w:val="24"/>
        </w:rPr>
      </w:pPr>
      <w:r w:rsidRPr="007C4EE8">
        <w:rPr>
          <w:color w:val="000000" w:themeColor="text1"/>
          <w:sz w:val="24"/>
          <w:szCs w:val="24"/>
        </w:rPr>
        <w:lastRenderedPageBreak/>
        <w:t>ZUUREN, E.J.V., BERND W. ARENTS, MIREILLE M. VAN DER LINDEN, SOFIEKE VERMEULEN, ZBYS FEDOROWICZ and JERRY TAN, 2021. rosacea: New Concepts in Classification and Treatment. American Journal of Clinical Dermatology, 22(4), pp. 457–65.</w:t>
      </w:r>
    </w:p>
    <w:p w14:paraId="3316E26D" w14:textId="0CE08D1C" w:rsidR="4EFB5ABC" w:rsidRPr="007C4EE8" w:rsidRDefault="4EFB5ABC" w:rsidP="007C4EE8">
      <w:pPr>
        <w:spacing w:line="480" w:lineRule="auto"/>
        <w:rPr>
          <w:color w:val="000000" w:themeColor="text1"/>
          <w:sz w:val="24"/>
          <w:szCs w:val="24"/>
        </w:rPr>
      </w:pPr>
    </w:p>
    <w:p w14:paraId="6E0ADE2A" w14:textId="08438C04" w:rsidR="7AD17F40" w:rsidRPr="007C4EE8" w:rsidRDefault="7AD17F40" w:rsidP="007C4EE8">
      <w:pPr>
        <w:spacing w:line="480" w:lineRule="auto"/>
        <w:rPr>
          <w:color w:val="000000" w:themeColor="text1"/>
          <w:sz w:val="24"/>
          <w:szCs w:val="24"/>
        </w:rPr>
      </w:pPr>
      <w:r w:rsidRPr="007C4EE8">
        <w:rPr>
          <w:color w:val="000000" w:themeColor="text1"/>
          <w:sz w:val="24"/>
          <w:szCs w:val="24"/>
          <w:lang w:val="en-US"/>
        </w:rPr>
        <w:t xml:space="preserve">]]]]] FORTON, F.M., 2020. The Pathogenic Role of Demodex Mites in Rosacea: A Potential Therapeutic Target Already in </w:t>
      </w:r>
      <w:proofErr w:type="spellStart"/>
      <w:r w:rsidRPr="007C4EE8">
        <w:rPr>
          <w:color w:val="000000" w:themeColor="text1"/>
          <w:sz w:val="24"/>
          <w:szCs w:val="24"/>
          <w:lang w:val="en-US"/>
        </w:rPr>
        <w:t>Erythematotelangiectatic</w:t>
      </w:r>
      <w:proofErr w:type="spellEnd"/>
      <w:r w:rsidRPr="007C4EE8">
        <w:rPr>
          <w:color w:val="000000" w:themeColor="text1"/>
          <w:sz w:val="24"/>
          <w:szCs w:val="24"/>
          <w:lang w:val="en-US"/>
        </w:rPr>
        <w:t xml:space="preserve"> Rosacea. Dermatology and Therapy, 10(2020), pp. 1229-1253.</w:t>
      </w:r>
    </w:p>
    <w:p w14:paraId="7B04C904" w14:textId="095BC9FD" w:rsidR="7AD17F40" w:rsidRPr="007C4EE8" w:rsidRDefault="7AD17F40" w:rsidP="007C4EE8">
      <w:pPr>
        <w:spacing w:line="480" w:lineRule="auto"/>
        <w:rPr>
          <w:sz w:val="24"/>
          <w:szCs w:val="24"/>
        </w:rPr>
      </w:pPr>
      <w:r w:rsidRPr="007C4EE8">
        <w:rPr>
          <w:color w:val="000000" w:themeColor="text1"/>
          <w:sz w:val="24"/>
          <w:szCs w:val="24"/>
        </w:rPr>
        <w:t xml:space="preserve"> </w:t>
      </w:r>
    </w:p>
    <w:p w14:paraId="2E729CF4" w14:textId="44DB4C67" w:rsidR="7AD17F40" w:rsidRPr="007C4EE8" w:rsidRDefault="7AD17F40" w:rsidP="007C4EE8">
      <w:pPr>
        <w:spacing w:line="480" w:lineRule="auto"/>
        <w:rPr>
          <w:sz w:val="24"/>
          <w:szCs w:val="24"/>
        </w:rPr>
      </w:pPr>
      <w:r w:rsidRPr="007C4EE8">
        <w:rPr>
          <w:color w:val="000000" w:themeColor="text1"/>
          <w:sz w:val="24"/>
          <w:szCs w:val="24"/>
          <w:lang w:val="en-US"/>
        </w:rPr>
        <w:t>HARVARD SCHOOL OF PUBLIC HEALTH</w:t>
      </w:r>
      <w:proofErr w:type="gramStart"/>
      <w:r w:rsidRPr="007C4EE8">
        <w:rPr>
          <w:color w:val="000000" w:themeColor="text1"/>
          <w:sz w:val="24"/>
          <w:szCs w:val="24"/>
          <w:lang w:val="en-US"/>
        </w:rPr>
        <w:t>, ,</w:t>
      </w:r>
      <w:proofErr w:type="gramEnd"/>
      <w:r w:rsidRPr="007C4EE8">
        <w:rPr>
          <w:color w:val="000000" w:themeColor="text1"/>
          <w:sz w:val="24"/>
          <w:szCs w:val="24"/>
          <w:lang w:val="en-US"/>
        </w:rPr>
        <w:t xml:space="preserve"> Health disparities between blacks and whites run deep. Available: https://www.hsph.harvard.edu/news/hsph-in-the-news/health-disparities-between-blacks-and-whites-run-deep/ [</w:t>
      </w:r>
      <w:proofErr w:type="gramStart"/>
      <w:r w:rsidRPr="007C4EE8">
        <w:rPr>
          <w:color w:val="000000" w:themeColor="text1"/>
          <w:sz w:val="24"/>
          <w:szCs w:val="24"/>
          <w:lang w:val="en-US"/>
        </w:rPr>
        <w:t>June,</w:t>
      </w:r>
      <w:proofErr w:type="gramEnd"/>
      <w:r w:rsidRPr="007C4EE8">
        <w:rPr>
          <w:color w:val="000000" w:themeColor="text1"/>
          <w:sz w:val="24"/>
          <w:szCs w:val="24"/>
          <w:lang w:val="en-US"/>
        </w:rPr>
        <w:t xml:space="preserve"> 2024].</w:t>
      </w:r>
    </w:p>
    <w:p w14:paraId="49093108" w14:textId="1D44865F" w:rsidR="4EFB5ABC" w:rsidRPr="007C4EE8" w:rsidRDefault="4EFB5ABC" w:rsidP="007C4EE8">
      <w:pPr>
        <w:spacing w:line="480" w:lineRule="auto"/>
        <w:rPr>
          <w:color w:val="000000" w:themeColor="text1"/>
          <w:sz w:val="24"/>
          <w:szCs w:val="24"/>
          <w:lang w:val="en-US"/>
        </w:rPr>
      </w:pPr>
    </w:p>
    <w:p w14:paraId="223C2B73" w14:textId="4BD9FE34" w:rsidR="0960312E" w:rsidRPr="007C4EE8" w:rsidRDefault="0960312E" w:rsidP="007C4EE8">
      <w:pPr>
        <w:spacing w:line="480" w:lineRule="auto"/>
        <w:rPr>
          <w:color w:val="000000" w:themeColor="text1"/>
          <w:sz w:val="24"/>
          <w:szCs w:val="24"/>
          <w:lang w:val="en-US"/>
        </w:rPr>
      </w:pPr>
      <w:r w:rsidRPr="007C4EE8">
        <w:rPr>
          <w:color w:val="000000" w:themeColor="text1"/>
          <w:sz w:val="24"/>
          <w:szCs w:val="24"/>
          <w:lang w:val="en-US"/>
        </w:rPr>
        <w:t xml:space="preserve">CRIBIER, B., 2013. Rosacea under the microscope: characteristic histological findings. Journal of the European Academy of Dermatology and </w:t>
      </w:r>
      <w:proofErr w:type="gramStart"/>
      <w:r w:rsidRPr="007C4EE8">
        <w:rPr>
          <w:color w:val="000000" w:themeColor="text1"/>
          <w:sz w:val="24"/>
          <w:szCs w:val="24"/>
          <w:lang w:val="en-US"/>
        </w:rPr>
        <w:t>Venereology :</w:t>
      </w:r>
      <w:proofErr w:type="gramEnd"/>
      <w:r w:rsidRPr="007C4EE8">
        <w:rPr>
          <w:color w:val="000000" w:themeColor="text1"/>
          <w:sz w:val="24"/>
          <w:szCs w:val="24"/>
          <w:lang w:val="en-US"/>
        </w:rPr>
        <w:t xml:space="preserve"> JEADV, 27(11), pp. 1336-1343.</w:t>
      </w:r>
    </w:p>
    <w:p w14:paraId="10050AB6" w14:textId="4D644C3B" w:rsidR="0960312E" w:rsidRPr="007C4EE8" w:rsidRDefault="0960312E" w:rsidP="007C4EE8">
      <w:pPr>
        <w:spacing w:line="480" w:lineRule="auto"/>
        <w:rPr>
          <w:sz w:val="24"/>
          <w:szCs w:val="24"/>
        </w:rPr>
      </w:pPr>
      <w:r w:rsidRPr="007C4EE8">
        <w:rPr>
          <w:color w:val="000000" w:themeColor="text1"/>
          <w:sz w:val="24"/>
          <w:szCs w:val="24"/>
          <w:lang w:val="en-US"/>
        </w:rPr>
        <w:t xml:space="preserve"> </w:t>
      </w:r>
    </w:p>
    <w:p w14:paraId="408035FC" w14:textId="36C84CE4" w:rsidR="0960312E" w:rsidRPr="007C4EE8" w:rsidRDefault="0960312E" w:rsidP="007C4EE8">
      <w:pPr>
        <w:spacing w:line="480" w:lineRule="auto"/>
        <w:rPr>
          <w:color w:val="000000" w:themeColor="text1"/>
          <w:sz w:val="24"/>
          <w:szCs w:val="24"/>
          <w:lang w:val="en-US"/>
        </w:rPr>
      </w:pPr>
      <w:r w:rsidRPr="007C4EE8">
        <w:rPr>
          <w:color w:val="000000" w:themeColor="text1"/>
          <w:sz w:val="24"/>
          <w:szCs w:val="24"/>
          <w:lang w:val="en-US"/>
        </w:rPr>
        <w:t xml:space="preserve">PERRIGOUARD, C., PELTRE, B. and CRIBIER, B., 2013. A histological and </w:t>
      </w:r>
      <w:proofErr w:type="spellStart"/>
      <w:r w:rsidRPr="007C4EE8">
        <w:rPr>
          <w:color w:val="000000" w:themeColor="text1"/>
          <w:sz w:val="24"/>
          <w:szCs w:val="24"/>
          <w:lang w:val="en-US"/>
        </w:rPr>
        <w:t>immunohistological</w:t>
      </w:r>
      <w:proofErr w:type="spellEnd"/>
      <w:r w:rsidRPr="007C4EE8">
        <w:rPr>
          <w:color w:val="000000" w:themeColor="text1"/>
          <w:sz w:val="24"/>
          <w:szCs w:val="24"/>
          <w:lang w:val="en-US"/>
        </w:rPr>
        <w:t xml:space="preserve"> study of vascular and inflammatory changes in rosacea. Annales de </w:t>
      </w:r>
      <w:proofErr w:type="spellStart"/>
      <w:r w:rsidRPr="007C4EE8">
        <w:rPr>
          <w:color w:val="000000" w:themeColor="text1"/>
          <w:sz w:val="24"/>
          <w:szCs w:val="24"/>
          <w:lang w:val="en-US"/>
        </w:rPr>
        <w:t>Dermatologie</w:t>
      </w:r>
      <w:proofErr w:type="spellEnd"/>
      <w:r w:rsidRPr="007C4EE8">
        <w:rPr>
          <w:color w:val="000000" w:themeColor="text1"/>
          <w:sz w:val="24"/>
          <w:szCs w:val="24"/>
          <w:lang w:val="en-US"/>
        </w:rPr>
        <w:t xml:space="preserve"> et de </w:t>
      </w:r>
      <w:proofErr w:type="spellStart"/>
      <w:r w:rsidRPr="007C4EE8">
        <w:rPr>
          <w:color w:val="000000" w:themeColor="text1"/>
          <w:sz w:val="24"/>
          <w:szCs w:val="24"/>
          <w:lang w:val="en-US"/>
        </w:rPr>
        <w:t>Venereologie</w:t>
      </w:r>
      <w:proofErr w:type="spellEnd"/>
      <w:r w:rsidRPr="007C4EE8">
        <w:rPr>
          <w:color w:val="000000" w:themeColor="text1"/>
          <w:sz w:val="24"/>
          <w:szCs w:val="24"/>
          <w:lang w:val="en-US"/>
        </w:rPr>
        <w:t>, 140(1), pp. 21-29.</w:t>
      </w:r>
    </w:p>
    <w:p w14:paraId="021C911C" w14:textId="77777777" w:rsidR="00F45D57" w:rsidRPr="007C4EE8" w:rsidRDefault="00F45D57" w:rsidP="007C4EE8">
      <w:pPr>
        <w:spacing w:line="480" w:lineRule="auto"/>
        <w:rPr>
          <w:color w:val="000000" w:themeColor="text1"/>
          <w:sz w:val="24"/>
          <w:szCs w:val="24"/>
          <w:lang w:val="en-US"/>
        </w:rPr>
      </w:pPr>
    </w:p>
    <w:p w14:paraId="60490169" w14:textId="2F5B792C" w:rsidR="00F45D57" w:rsidRPr="007C4EE8" w:rsidRDefault="00F45D57" w:rsidP="007C4EE8">
      <w:pPr>
        <w:spacing w:line="480" w:lineRule="auto"/>
        <w:rPr>
          <w:sz w:val="24"/>
          <w:szCs w:val="24"/>
        </w:rPr>
      </w:pPr>
      <w:r w:rsidRPr="007C4EE8">
        <w:rPr>
          <w:sz w:val="24"/>
          <w:szCs w:val="24"/>
        </w:rPr>
        <w:t>H, R., 2023-last update, The Misdiagnosis of Rosacea on Black Skin. Available: https://www.refinedmd.com/misdiagnosis-rosacea-on-black-skin/ [</w:t>
      </w:r>
      <w:proofErr w:type="gramStart"/>
      <w:r w:rsidRPr="007C4EE8">
        <w:rPr>
          <w:sz w:val="24"/>
          <w:szCs w:val="24"/>
        </w:rPr>
        <w:t>June,</w:t>
      </w:r>
      <w:proofErr w:type="gramEnd"/>
      <w:r w:rsidRPr="007C4EE8">
        <w:rPr>
          <w:sz w:val="24"/>
          <w:szCs w:val="24"/>
        </w:rPr>
        <w:t xml:space="preserve"> 2023].</w:t>
      </w:r>
    </w:p>
    <w:p w14:paraId="6F086B87" w14:textId="77777777" w:rsidR="00403311" w:rsidRPr="007C4EE8" w:rsidRDefault="00403311" w:rsidP="007C4EE8">
      <w:pPr>
        <w:spacing w:line="480" w:lineRule="auto"/>
        <w:rPr>
          <w:sz w:val="24"/>
          <w:szCs w:val="24"/>
        </w:rPr>
      </w:pPr>
    </w:p>
    <w:p w14:paraId="42AC4128" w14:textId="77777777" w:rsidR="00403311" w:rsidRPr="007C4EE8" w:rsidRDefault="00403311" w:rsidP="007C4EE8">
      <w:pPr>
        <w:spacing w:line="480" w:lineRule="auto"/>
        <w:rPr>
          <w:sz w:val="24"/>
          <w:szCs w:val="24"/>
          <w:lang w:val="en-US"/>
        </w:rPr>
      </w:pPr>
      <w:r w:rsidRPr="00403311">
        <w:rPr>
          <w:sz w:val="24"/>
          <w:szCs w:val="24"/>
          <w:lang w:val="en-US"/>
        </w:rPr>
        <w:t xml:space="preserve">Two, A.M., Wu, W., Gallo, R.L., &amp; </w:t>
      </w:r>
      <w:proofErr w:type="spellStart"/>
      <w:r w:rsidRPr="00403311">
        <w:rPr>
          <w:sz w:val="24"/>
          <w:szCs w:val="24"/>
          <w:lang w:val="en-US"/>
        </w:rPr>
        <w:t>Hata</w:t>
      </w:r>
      <w:proofErr w:type="spellEnd"/>
      <w:r w:rsidRPr="00403311">
        <w:rPr>
          <w:sz w:val="24"/>
          <w:szCs w:val="24"/>
          <w:lang w:val="en-US"/>
        </w:rPr>
        <w:t>, T.R., 2017. Rosacea: part I. Introduction, categorization, histology, pathogenesis, and risk factors. </w:t>
      </w:r>
      <w:r w:rsidRPr="00403311">
        <w:rPr>
          <w:i/>
          <w:iCs/>
          <w:sz w:val="24"/>
          <w:szCs w:val="24"/>
          <w:lang w:val="en-US"/>
        </w:rPr>
        <w:t>Journal of the American Academy of Dermatology</w:t>
      </w:r>
      <w:r w:rsidRPr="00403311">
        <w:rPr>
          <w:sz w:val="24"/>
          <w:szCs w:val="24"/>
          <w:lang w:val="en-US"/>
        </w:rPr>
        <w:t>, 75(4), pp.606-622.</w:t>
      </w:r>
    </w:p>
    <w:p w14:paraId="263B3D59" w14:textId="77777777" w:rsidR="00447F27" w:rsidRPr="00403311" w:rsidRDefault="00447F27" w:rsidP="007C4EE8">
      <w:pPr>
        <w:spacing w:line="480" w:lineRule="auto"/>
        <w:rPr>
          <w:sz w:val="24"/>
          <w:szCs w:val="24"/>
          <w:lang w:val="en-US"/>
        </w:rPr>
      </w:pPr>
    </w:p>
    <w:p w14:paraId="654C6479" w14:textId="77777777" w:rsidR="00403311" w:rsidRPr="00403311" w:rsidRDefault="00403311" w:rsidP="007C4EE8">
      <w:pPr>
        <w:spacing w:line="480" w:lineRule="auto"/>
        <w:rPr>
          <w:sz w:val="24"/>
          <w:szCs w:val="24"/>
          <w:lang w:val="en-US"/>
        </w:rPr>
      </w:pPr>
      <w:r w:rsidRPr="00403311">
        <w:rPr>
          <w:sz w:val="24"/>
          <w:szCs w:val="24"/>
          <w:lang w:val="en-US"/>
        </w:rPr>
        <w:t xml:space="preserve">Yamasaki, K., Di </w:t>
      </w:r>
      <w:proofErr w:type="spellStart"/>
      <w:r w:rsidRPr="00403311">
        <w:rPr>
          <w:sz w:val="24"/>
          <w:szCs w:val="24"/>
          <w:lang w:val="en-US"/>
        </w:rPr>
        <w:t>Nardo</w:t>
      </w:r>
      <w:proofErr w:type="spellEnd"/>
      <w:r w:rsidRPr="00403311">
        <w:rPr>
          <w:sz w:val="24"/>
          <w:szCs w:val="24"/>
          <w:lang w:val="en-US"/>
        </w:rPr>
        <w:t xml:space="preserve">, A., </w:t>
      </w:r>
      <w:proofErr w:type="spellStart"/>
      <w:r w:rsidRPr="00403311">
        <w:rPr>
          <w:sz w:val="24"/>
          <w:szCs w:val="24"/>
          <w:lang w:val="en-US"/>
        </w:rPr>
        <w:t>Bardan</w:t>
      </w:r>
      <w:proofErr w:type="spellEnd"/>
      <w:r w:rsidRPr="00403311">
        <w:rPr>
          <w:sz w:val="24"/>
          <w:szCs w:val="24"/>
          <w:lang w:val="en-US"/>
        </w:rPr>
        <w:t xml:space="preserve">, A., Murakami, M., </w:t>
      </w:r>
      <w:proofErr w:type="spellStart"/>
      <w:r w:rsidRPr="00403311">
        <w:rPr>
          <w:sz w:val="24"/>
          <w:szCs w:val="24"/>
          <w:lang w:val="en-US"/>
        </w:rPr>
        <w:t>Ohtake</w:t>
      </w:r>
      <w:proofErr w:type="spellEnd"/>
      <w:r w:rsidRPr="00403311">
        <w:rPr>
          <w:sz w:val="24"/>
          <w:szCs w:val="24"/>
          <w:lang w:val="en-US"/>
        </w:rPr>
        <w:t xml:space="preserve">, T., Coda, A., </w:t>
      </w:r>
      <w:proofErr w:type="spellStart"/>
      <w:r w:rsidRPr="00403311">
        <w:rPr>
          <w:sz w:val="24"/>
          <w:szCs w:val="24"/>
          <w:lang w:val="en-US"/>
        </w:rPr>
        <w:t>Dorschner</w:t>
      </w:r>
      <w:proofErr w:type="spellEnd"/>
      <w:r w:rsidRPr="00403311">
        <w:rPr>
          <w:sz w:val="24"/>
          <w:szCs w:val="24"/>
          <w:lang w:val="en-US"/>
        </w:rPr>
        <w:t xml:space="preserve">, R.A., </w:t>
      </w:r>
      <w:proofErr w:type="spellStart"/>
      <w:r w:rsidRPr="00403311">
        <w:rPr>
          <w:sz w:val="24"/>
          <w:szCs w:val="24"/>
          <w:lang w:val="en-US"/>
        </w:rPr>
        <w:t>Bonnart</w:t>
      </w:r>
      <w:proofErr w:type="spellEnd"/>
      <w:r w:rsidRPr="00403311">
        <w:rPr>
          <w:sz w:val="24"/>
          <w:szCs w:val="24"/>
          <w:lang w:val="en-US"/>
        </w:rPr>
        <w:t xml:space="preserve">, C., </w:t>
      </w:r>
      <w:proofErr w:type="spellStart"/>
      <w:r w:rsidRPr="00403311">
        <w:rPr>
          <w:sz w:val="24"/>
          <w:szCs w:val="24"/>
          <w:lang w:val="en-US"/>
        </w:rPr>
        <w:t>Descargues</w:t>
      </w:r>
      <w:proofErr w:type="spellEnd"/>
      <w:r w:rsidRPr="00403311">
        <w:rPr>
          <w:sz w:val="24"/>
          <w:szCs w:val="24"/>
          <w:lang w:val="en-US"/>
        </w:rPr>
        <w:t xml:space="preserve">, P., Hovnanian, A., </w:t>
      </w:r>
      <w:proofErr w:type="spellStart"/>
      <w:r w:rsidRPr="00403311">
        <w:rPr>
          <w:sz w:val="24"/>
          <w:szCs w:val="24"/>
          <w:lang w:val="en-US"/>
        </w:rPr>
        <w:t>Morhenn</w:t>
      </w:r>
      <w:proofErr w:type="spellEnd"/>
      <w:r w:rsidRPr="00403311">
        <w:rPr>
          <w:sz w:val="24"/>
          <w:szCs w:val="24"/>
          <w:lang w:val="en-US"/>
        </w:rPr>
        <w:t xml:space="preserve">, V.B., &amp; Gallo, R.L., 2007. Increased serine protease activity and </w:t>
      </w:r>
      <w:proofErr w:type="spellStart"/>
      <w:r w:rsidRPr="00403311">
        <w:rPr>
          <w:sz w:val="24"/>
          <w:szCs w:val="24"/>
          <w:lang w:val="en-US"/>
        </w:rPr>
        <w:t>cathelicidin</w:t>
      </w:r>
      <w:proofErr w:type="spellEnd"/>
      <w:r w:rsidRPr="00403311">
        <w:rPr>
          <w:sz w:val="24"/>
          <w:szCs w:val="24"/>
          <w:lang w:val="en-US"/>
        </w:rPr>
        <w:t xml:space="preserve"> promotes skin inflammation in rosacea. </w:t>
      </w:r>
      <w:r w:rsidRPr="00403311">
        <w:rPr>
          <w:i/>
          <w:iCs/>
          <w:sz w:val="24"/>
          <w:szCs w:val="24"/>
          <w:lang w:val="en-US"/>
        </w:rPr>
        <w:t>Nature Medicine</w:t>
      </w:r>
      <w:r w:rsidRPr="00403311">
        <w:rPr>
          <w:sz w:val="24"/>
          <w:szCs w:val="24"/>
          <w:lang w:val="en-US"/>
        </w:rPr>
        <w:t>, 13(8), pp.975-980.</w:t>
      </w:r>
    </w:p>
    <w:p w14:paraId="19ABEC81" w14:textId="77777777" w:rsidR="00403311" w:rsidRPr="007C4EE8" w:rsidRDefault="00403311" w:rsidP="007C4EE8">
      <w:pPr>
        <w:spacing w:line="480" w:lineRule="auto"/>
        <w:rPr>
          <w:sz w:val="24"/>
          <w:szCs w:val="24"/>
        </w:rPr>
      </w:pPr>
    </w:p>
    <w:p w14:paraId="16979E59" w14:textId="77777777" w:rsidR="00447F27" w:rsidRPr="007C4EE8" w:rsidRDefault="00447F27" w:rsidP="007C4EE8">
      <w:pPr>
        <w:spacing w:line="480" w:lineRule="auto"/>
        <w:rPr>
          <w:sz w:val="24"/>
          <w:szCs w:val="24"/>
          <w:lang w:val="en-US"/>
        </w:rPr>
      </w:pPr>
      <w:r w:rsidRPr="00447F27">
        <w:rPr>
          <w:sz w:val="24"/>
          <w:szCs w:val="24"/>
          <w:lang w:val="en-US"/>
        </w:rPr>
        <w:t>Crawford, G.H., Pelle, M.T., &amp; James, W.D., 2016. Rosacea: I. Etiology, pathogenesis, and subtype classification. </w:t>
      </w:r>
      <w:r w:rsidRPr="00447F27">
        <w:rPr>
          <w:i/>
          <w:iCs/>
          <w:sz w:val="24"/>
          <w:szCs w:val="24"/>
          <w:lang w:val="en-US"/>
        </w:rPr>
        <w:t>Journal of the American Academy of Dermatology</w:t>
      </w:r>
      <w:r w:rsidRPr="00447F27">
        <w:rPr>
          <w:sz w:val="24"/>
          <w:szCs w:val="24"/>
          <w:lang w:val="en-US"/>
        </w:rPr>
        <w:t>, 51(3), pp.327-341.</w:t>
      </w:r>
    </w:p>
    <w:p w14:paraId="76700DAC" w14:textId="77777777" w:rsidR="00447F27" w:rsidRPr="00447F27" w:rsidRDefault="00447F27" w:rsidP="007C4EE8">
      <w:pPr>
        <w:spacing w:line="480" w:lineRule="auto"/>
        <w:rPr>
          <w:sz w:val="24"/>
          <w:szCs w:val="24"/>
          <w:lang w:val="en-US"/>
        </w:rPr>
      </w:pPr>
    </w:p>
    <w:p w14:paraId="51A268C4" w14:textId="77777777" w:rsidR="00447F27" w:rsidRPr="007C4EE8" w:rsidRDefault="00447F27" w:rsidP="007C4EE8">
      <w:pPr>
        <w:spacing w:line="480" w:lineRule="auto"/>
        <w:rPr>
          <w:sz w:val="24"/>
          <w:szCs w:val="24"/>
          <w:lang w:val="en-US"/>
        </w:rPr>
      </w:pPr>
      <w:r w:rsidRPr="00447F27">
        <w:rPr>
          <w:sz w:val="24"/>
          <w:szCs w:val="24"/>
          <w:lang w:val="en-US"/>
        </w:rPr>
        <w:t xml:space="preserve">Kim, J.W., </w:t>
      </w:r>
      <w:proofErr w:type="spellStart"/>
      <w:r w:rsidRPr="00447F27">
        <w:rPr>
          <w:sz w:val="24"/>
          <w:szCs w:val="24"/>
          <w:lang w:val="en-US"/>
        </w:rPr>
        <w:t>Seo</w:t>
      </w:r>
      <w:proofErr w:type="spellEnd"/>
      <w:r w:rsidRPr="00447F27">
        <w:rPr>
          <w:sz w:val="24"/>
          <w:szCs w:val="24"/>
          <w:lang w:val="en-US"/>
        </w:rPr>
        <w:t xml:space="preserve">, S.H., &amp; Kim, I.H., 2020. Clinical characteristics and risk factors of rosacea in skin of </w:t>
      </w:r>
      <w:proofErr w:type="spellStart"/>
      <w:r w:rsidRPr="00447F27">
        <w:rPr>
          <w:sz w:val="24"/>
          <w:szCs w:val="24"/>
          <w:lang w:val="en-US"/>
        </w:rPr>
        <w:t>colour</w:t>
      </w:r>
      <w:proofErr w:type="spellEnd"/>
      <w:r w:rsidRPr="00447F27">
        <w:rPr>
          <w:sz w:val="24"/>
          <w:szCs w:val="24"/>
          <w:lang w:val="en-US"/>
        </w:rPr>
        <w:t>: A multicenter study in South Korea. </w:t>
      </w:r>
      <w:r w:rsidRPr="00447F27">
        <w:rPr>
          <w:i/>
          <w:iCs/>
          <w:sz w:val="24"/>
          <w:szCs w:val="24"/>
          <w:lang w:val="en-US"/>
        </w:rPr>
        <w:t>International Journal of Dermatology</w:t>
      </w:r>
      <w:r w:rsidRPr="00447F27">
        <w:rPr>
          <w:sz w:val="24"/>
          <w:szCs w:val="24"/>
          <w:lang w:val="en-US"/>
        </w:rPr>
        <w:t>, 59(12), pp.1462-1468.</w:t>
      </w:r>
    </w:p>
    <w:p w14:paraId="24B5AECB" w14:textId="77777777" w:rsidR="00447F27" w:rsidRPr="00447F27" w:rsidRDefault="00447F27" w:rsidP="007C4EE8">
      <w:pPr>
        <w:spacing w:line="480" w:lineRule="auto"/>
        <w:rPr>
          <w:sz w:val="24"/>
          <w:szCs w:val="24"/>
          <w:lang w:val="en-US"/>
        </w:rPr>
      </w:pPr>
    </w:p>
    <w:p w14:paraId="5E99F607" w14:textId="77777777" w:rsidR="00447F27" w:rsidRPr="00447F27" w:rsidRDefault="00447F27" w:rsidP="007C4EE8">
      <w:pPr>
        <w:spacing w:line="480" w:lineRule="auto"/>
        <w:rPr>
          <w:sz w:val="24"/>
          <w:szCs w:val="24"/>
          <w:lang w:val="en-US"/>
        </w:rPr>
      </w:pPr>
      <w:r w:rsidRPr="00447F27">
        <w:rPr>
          <w:sz w:val="24"/>
          <w:szCs w:val="24"/>
          <w:lang w:val="en-US"/>
        </w:rPr>
        <w:t>Ravichandran, M., Devaraj, H., &amp; Rajalakshmi, G., 2018. Elevated serum levels of matrix metalloproteinase-9 (MMP-9) in rosacea: A potential role in pathogenesis. </w:t>
      </w:r>
      <w:r w:rsidRPr="00447F27">
        <w:rPr>
          <w:i/>
          <w:iCs/>
          <w:sz w:val="24"/>
          <w:szCs w:val="24"/>
          <w:lang w:val="en-US"/>
        </w:rPr>
        <w:t>Indian Journal of Dermatology, Venereology, and Leprology</w:t>
      </w:r>
      <w:r w:rsidRPr="00447F27">
        <w:rPr>
          <w:sz w:val="24"/>
          <w:szCs w:val="24"/>
          <w:lang w:val="en-US"/>
        </w:rPr>
        <w:t>, 84(4), pp.449-454.</w:t>
      </w:r>
    </w:p>
    <w:p w14:paraId="15E490F8" w14:textId="77777777" w:rsidR="00447F27" w:rsidRPr="007C4EE8" w:rsidRDefault="00447F27" w:rsidP="007C4EE8">
      <w:pPr>
        <w:spacing w:line="480" w:lineRule="auto"/>
        <w:rPr>
          <w:sz w:val="24"/>
          <w:szCs w:val="24"/>
        </w:rPr>
      </w:pPr>
    </w:p>
    <w:p w14:paraId="142D3D14" w14:textId="77777777" w:rsidR="00D20953" w:rsidRPr="00D20953" w:rsidRDefault="00D20953" w:rsidP="007C4EE8">
      <w:pPr>
        <w:spacing w:line="480" w:lineRule="auto"/>
        <w:rPr>
          <w:sz w:val="24"/>
          <w:szCs w:val="24"/>
          <w:lang w:val="en-US"/>
        </w:rPr>
      </w:pPr>
      <w:r w:rsidRPr="00D20953">
        <w:rPr>
          <w:sz w:val="24"/>
          <w:szCs w:val="24"/>
          <w:lang w:val="en-US"/>
        </w:rPr>
        <w:lastRenderedPageBreak/>
        <w:t xml:space="preserve">Bowe, W.P., </w:t>
      </w:r>
      <w:proofErr w:type="spellStart"/>
      <w:r w:rsidRPr="00D20953">
        <w:rPr>
          <w:sz w:val="24"/>
          <w:szCs w:val="24"/>
          <w:lang w:val="en-US"/>
        </w:rPr>
        <w:t>Sobanko</w:t>
      </w:r>
      <w:proofErr w:type="spellEnd"/>
      <w:r w:rsidRPr="00D20953">
        <w:rPr>
          <w:sz w:val="24"/>
          <w:szCs w:val="24"/>
          <w:lang w:val="en-US"/>
        </w:rPr>
        <w:t>, J.F., &amp; Matheson, R.T., 2011. Laser and light therapies for the treatment of rosacea. </w:t>
      </w:r>
      <w:r w:rsidRPr="00D20953">
        <w:rPr>
          <w:i/>
          <w:iCs/>
          <w:sz w:val="24"/>
          <w:szCs w:val="24"/>
          <w:lang w:val="en-US"/>
        </w:rPr>
        <w:t>Journal of Clinical and Aesthetic Dermatology</w:t>
      </w:r>
      <w:r w:rsidRPr="00D20953">
        <w:rPr>
          <w:sz w:val="24"/>
          <w:szCs w:val="24"/>
          <w:lang w:val="en-US"/>
        </w:rPr>
        <w:t>, 4(8), pp.27-35.</w:t>
      </w:r>
    </w:p>
    <w:p w14:paraId="743DEB8E" w14:textId="77777777" w:rsidR="00D20953" w:rsidRDefault="00D20953" w:rsidP="4EFB5ABC"/>
    <w:sectPr w:rsidR="00D20953">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C3132" w14:textId="77777777" w:rsidR="00DC624F" w:rsidRDefault="00DC624F">
      <w:pPr>
        <w:spacing w:line="240" w:lineRule="auto"/>
      </w:pPr>
      <w:r>
        <w:separator/>
      </w:r>
    </w:p>
  </w:endnote>
  <w:endnote w:type="continuationSeparator" w:id="0">
    <w:p w14:paraId="0A77FB16" w14:textId="77777777" w:rsidR="00DC624F" w:rsidRDefault="00DC62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918702E-13E6-8A44-A37B-1EE5E5AE878F}"/>
    <w:embedBold r:id="rId2" w:fontKey="{0001CC7B-3E5B-BA4E-890E-B2F066F1EC9C}"/>
  </w:font>
  <w:font w:name="Symbol">
    <w:panose1 w:val="05050102010706020507"/>
    <w:charset w:val="02"/>
    <w:family w:val="decorative"/>
    <w:pitch w:val="variable"/>
    <w:sig w:usb0="00000000" w:usb1="10000000" w:usb2="00000000" w:usb3="00000000" w:csb0="80000000" w:csb1="00000000"/>
    <w:embedRegular r:id="rId3" w:fontKey="{1B4579BD-7320-B242-87B9-F3EC40FD3165}"/>
  </w:font>
  <w:font w:name="Courier New">
    <w:panose1 w:val="02070309020205020404"/>
    <w:charset w:val="00"/>
    <w:family w:val="modern"/>
    <w:pitch w:val="fixed"/>
    <w:sig w:usb0="E0002AFF" w:usb1="C0007843" w:usb2="00000009" w:usb3="00000000" w:csb0="000001FF" w:csb1="00000000"/>
    <w:embedRegular r:id="rId4" w:fontKey="{D811D48C-2A24-3442-AC5A-D8F2D11F9F1A}"/>
  </w:font>
  <w:font w:name="Wingdings">
    <w:panose1 w:val="05000000000000000000"/>
    <w:charset w:val="4D"/>
    <w:family w:val="decorative"/>
    <w:pitch w:val="variable"/>
    <w:sig w:usb0="00000003" w:usb1="00000000" w:usb2="00000000" w:usb3="00000000" w:csb0="80000001" w:csb1="00000000"/>
    <w:embedRegular r:id="rId5" w:fontKey="{BF02FD26-FE1F-6B43-B4D6-13AEFCCC891C}"/>
  </w:font>
  <w:font w:name="Arial">
    <w:panose1 w:val="020B0604020202020204"/>
    <w:charset w:val="00"/>
    <w:family w:val="swiss"/>
    <w:pitch w:val="variable"/>
    <w:sig w:usb0="E0002EFF" w:usb1="C000785B" w:usb2="00000009" w:usb3="00000000" w:csb0="000001FF" w:csb1="00000000"/>
    <w:embedRegular r:id="rId6" w:fontKey="{B5C93140-6369-3D4A-A8E9-6DAE5898F2D0}"/>
    <w:embedBold r:id="rId7" w:fontKey="{0481B70F-CCDA-084D-969A-B0EE349DAE7C}"/>
    <w:embedItalic r:id="rId8" w:fontKey="{54266D32-0057-D446-BFDD-D13496F103B9}"/>
    <w:embedBoldItalic r:id="rId9" w:fontKey="{9638FB0A-C9FD-554B-80FC-CE73C0AA8E7A}"/>
  </w:font>
  <w:font w:name="Calibri">
    <w:panose1 w:val="020F0502020204030204"/>
    <w:charset w:val="00"/>
    <w:family w:val="swiss"/>
    <w:pitch w:val="variable"/>
    <w:sig w:usb0="E4002EFF" w:usb1="C000247B" w:usb2="00000009" w:usb3="00000000" w:csb0="000001FF" w:csb1="00000000"/>
    <w:embedRegular r:id="rId10" w:fontKey="{DECC3F64-2A5D-914B-BD9B-01AEA44C98BC}"/>
    <w:embedBold r:id="rId11" w:fontKey="{64966700-B350-3046-8E49-5C864DEF67AB}"/>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2" w:fontKey="{96E3F7A4-5C2F-1641-B15B-2597F0086222}"/>
    <w:embedBold r:id="rId13" w:fontKey="{7150082B-D691-EA4F-9DF9-79A0061F1911}"/>
    <w:embedBoldItalic r:id="rId14" w:fontKey="{0D38D054-299E-5D45-B084-2829319F841D}"/>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embedRegular r:id="rId15" w:fontKey="{693E179F-8972-F245-B19E-0B8C863705D2}"/>
    <w:embedBold r:id="rId16" w:fontKey="{2C2D05E4-5599-6D4C-B4C6-8AD45628E5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C44F05" w14:paraId="04BA6B80" w14:textId="77777777" w:rsidTr="04C44F05">
      <w:trPr>
        <w:trHeight w:val="300"/>
      </w:trPr>
      <w:tc>
        <w:tcPr>
          <w:tcW w:w="3120" w:type="dxa"/>
        </w:tcPr>
        <w:p w14:paraId="095A3F8E" w14:textId="4BB86C04" w:rsidR="04C44F05" w:rsidRDefault="04C44F05" w:rsidP="04C44F05">
          <w:pPr>
            <w:pStyle w:val="Header"/>
            <w:ind w:left="-115"/>
          </w:pPr>
        </w:p>
      </w:tc>
      <w:tc>
        <w:tcPr>
          <w:tcW w:w="3120" w:type="dxa"/>
        </w:tcPr>
        <w:p w14:paraId="5A19CAE8" w14:textId="5A7B0BD6" w:rsidR="04C44F05" w:rsidRDefault="04C44F05" w:rsidP="04C44F05">
          <w:pPr>
            <w:pStyle w:val="Header"/>
            <w:jc w:val="center"/>
          </w:pPr>
        </w:p>
      </w:tc>
      <w:tc>
        <w:tcPr>
          <w:tcW w:w="3120" w:type="dxa"/>
        </w:tcPr>
        <w:p w14:paraId="367BAF05" w14:textId="68C10737" w:rsidR="04C44F05" w:rsidRDefault="04C44F05" w:rsidP="04C44F05">
          <w:pPr>
            <w:pStyle w:val="Header"/>
            <w:ind w:right="-115"/>
            <w:jc w:val="right"/>
          </w:pPr>
          <w:r>
            <w:fldChar w:fldCharType="begin"/>
          </w:r>
          <w:r>
            <w:instrText>PAGE</w:instrText>
          </w:r>
          <w:r w:rsidR="00000000">
            <w:fldChar w:fldCharType="separate"/>
          </w:r>
          <w:r w:rsidR="00A41127">
            <w:rPr>
              <w:noProof/>
            </w:rPr>
            <w:t>2</w:t>
          </w:r>
          <w:r>
            <w:fldChar w:fldCharType="end"/>
          </w:r>
        </w:p>
      </w:tc>
    </w:tr>
  </w:tbl>
  <w:p w14:paraId="3C610032" w14:textId="7F0CF47E" w:rsidR="04C44F05" w:rsidRDefault="04C44F05" w:rsidP="04C44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C44F05" w14:paraId="07A11F0A" w14:textId="77777777" w:rsidTr="04C44F05">
      <w:trPr>
        <w:trHeight w:val="300"/>
      </w:trPr>
      <w:tc>
        <w:tcPr>
          <w:tcW w:w="3120" w:type="dxa"/>
        </w:tcPr>
        <w:p w14:paraId="495BD729" w14:textId="7422832D" w:rsidR="04C44F05" w:rsidRDefault="04C44F05" w:rsidP="04C44F05">
          <w:pPr>
            <w:pStyle w:val="Header"/>
            <w:ind w:left="-115"/>
          </w:pPr>
        </w:p>
      </w:tc>
      <w:tc>
        <w:tcPr>
          <w:tcW w:w="3120" w:type="dxa"/>
        </w:tcPr>
        <w:p w14:paraId="4C527270" w14:textId="24F6C04C" w:rsidR="04C44F05" w:rsidRDefault="04C44F05" w:rsidP="04C44F05">
          <w:pPr>
            <w:pStyle w:val="Header"/>
            <w:jc w:val="center"/>
          </w:pPr>
        </w:p>
      </w:tc>
      <w:tc>
        <w:tcPr>
          <w:tcW w:w="3120" w:type="dxa"/>
        </w:tcPr>
        <w:p w14:paraId="20A0F787" w14:textId="08974AF7" w:rsidR="04C44F05" w:rsidRDefault="04C44F05" w:rsidP="04C44F05">
          <w:pPr>
            <w:pStyle w:val="Header"/>
            <w:ind w:right="-115"/>
            <w:jc w:val="right"/>
          </w:pPr>
        </w:p>
      </w:tc>
    </w:tr>
  </w:tbl>
  <w:p w14:paraId="76F673E5" w14:textId="6B10E9D4" w:rsidR="04C44F05" w:rsidRDefault="04C44F05" w:rsidP="04C44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51964" w14:textId="77777777" w:rsidR="00DC624F" w:rsidRDefault="00DC624F">
      <w:pPr>
        <w:spacing w:line="240" w:lineRule="auto"/>
      </w:pPr>
      <w:r>
        <w:separator/>
      </w:r>
    </w:p>
  </w:footnote>
  <w:footnote w:type="continuationSeparator" w:id="0">
    <w:p w14:paraId="6B4A1EAB" w14:textId="77777777" w:rsidR="00DC624F" w:rsidRDefault="00DC62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8460"/>
      <w:gridCol w:w="555"/>
    </w:tblGrid>
    <w:tr w:rsidR="04C44F05" w14:paraId="7081E4E8" w14:textId="77777777" w:rsidTr="04C44F05">
      <w:trPr>
        <w:trHeight w:val="300"/>
      </w:trPr>
      <w:tc>
        <w:tcPr>
          <w:tcW w:w="8460" w:type="dxa"/>
        </w:tcPr>
        <w:p w14:paraId="22F94591" w14:textId="75244A71" w:rsidR="04C44F05" w:rsidRDefault="04C44F05" w:rsidP="04C44F05">
          <w:pPr>
            <w:rPr>
              <w:sz w:val="24"/>
              <w:szCs w:val="24"/>
            </w:rPr>
          </w:pPr>
          <w:r w:rsidRPr="04C44F05">
            <w:rPr>
              <w:sz w:val="24"/>
              <w:szCs w:val="24"/>
            </w:rPr>
            <w:t>Complexities of Rosacea: Inflammatory response in melanin-rich skin</w:t>
          </w:r>
        </w:p>
        <w:p w14:paraId="491EE826" w14:textId="685DFD61" w:rsidR="04C44F05" w:rsidRDefault="04C44F05" w:rsidP="04C44F05">
          <w:pPr>
            <w:pStyle w:val="Header"/>
            <w:ind w:left="-115"/>
          </w:pPr>
        </w:p>
      </w:tc>
      <w:tc>
        <w:tcPr>
          <w:tcW w:w="555" w:type="dxa"/>
        </w:tcPr>
        <w:p w14:paraId="1DCB0B73" w14:textId="24AD95BA" w:rsidR="04C44F05" w:rsidRDefault="04C44F05" w:rsidP="04C44F05">
          <w:pPr>
            <w:pStyle w:val="Header"/>
            <w:ind w:right="-115"/>
            <w:jc w:val="right"/>
          </w:pPr>
        </w:p>
      </w:tc>
    </w:tr>
  </w:tbl>
  <w:p w14:paraId="47880271" w14:textId="619832FB" w:rsidR="04C44F05" w:rsidRDefault="04C44F05" w:rsidP="04C44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C44F05" w14:paraId="2679502B" w14:textId="77777777" w:rsidTr="04C44F05">
      <w:trPr>
        <w:trHeight w:val="300"/>
      </w:trPr>
      <w:tc>
        <w:tcPr>
          <w:tcW w:w="3120" w:type="dxa"/>
        </w:tcPr>
        <w:p w14:paraId="3DC99976" w14:textId="7F6CAF03" w:rsidR="04C44F05" w:rsidRDefault="04C44F05" w:rsidP="04C44F05">
          <w:pPr>
            <w:pStyle w:val="Header"/>
            <w:ind w:left="-115"/>
          </w:pPr>
        </w:p>
      </w:tc>
      <w:tc>
        <w:tcPr>
          <w:tcW w:w="3120" w:type="dxa"/>
        </w:tcPr>
        <w:p w14:paraId="09B07EBD" w14:textId="579229D2" w:rsidR="04C44F05" w:rsidRDefault="04C44F05" w:rsidP="04C44F05">
          <w:pPr>
            <w:pStyle w:val="Header"/>
            <w:jc w:val="center"/>
          </w:pPr>
        </w:p>
      </w:tc>
      <w:tc>
        <w:tcPr>
          <w:tcW w:w="3120" w:type="dxa"/>
        </w:tcPr>
        <w:p w14:paraId="62C43EB8" w14:textId="4DBCE410" w:rsidR="04C44F05" w:rsidRDefault="04C44F05" w:rsidP="04C44F05">
          <w:pPr>
            <w:pStyle w:val="Header"/>
            <w:ind w:right="-115"/>
            <w:jc w:val="right"/>
          </w:pPr>
        </w:p>
      </w:tc>
    </w:tr>
  </w:tbl>
  <w:p w14:paraId="18D8A449" w14:textId="2B622C2E" w:rsidR="04C44F05" w:rsidRDefault="04C44F05" w:rsidP="04C44F05">
    <w:pPr>
      <w:pStyle w:val="Header"/>
    </w:pPr>
  </w:p>
</w:hdr>
</file>

<file path=word/intelligence2.xml><?xml version="1.0" encoding="utf-8"?>
<int2:intelligence xmlns:int2="http://schemas.microsoft.com/office/intelligence/2020/intelligence" xmlns:oel="http://schemas.microsoft.com/office/2019/extlst">
  <int2:observations>
    <int2:textHash int2:hashCode="TxcNagm5XP7LRl" int2:id="ViJguDnY">
      <int2:state int2:value="Rejected" int2:type="AugLoop_Text_Critique"/>
    </int2:textHash>
    <int2:textHash int2:hashCode="QiSnDNRBO/hInf" int2:id="TJ27FMqp">
      <int2:state int2:value="Rejected" int2:type="AugLoop_Text_Critique"/>
    </int2:textHash>
    <int2:textHash int2:hashCode="E2XFZhb+gCqOJj" int2:id="fyKBMz2J">
      <int2:state int2:value="Rejected" int2:type="AugLoop_Text_Critique"/>
    </int2:textHash>
    <int2:textHash int2:hashCode="bFw0WfJBxwD3Vs" int2:id="EBxC3XyN">
      <int2:state int2:value="Rejected" int2:type="AugLoop_Text_Critique"/>
    </int2:textHash>
    <int2:textHash int2:hashCode="nE1HP8DlwiALPG" int2:id="3WTr3sz6">
      <int2:state int2:value="Rejected" int2:type="AugLoop_Text_Critique"/>
    </int2:textHash>
    <int2:textHash int2:hashCode="z4M+yBQyWu1/C3" int2:id="36UK23wb">
      <int2:state int2:value="Rejected" int2:type="AugLoop_Text_Critique"/>
    </int2:textHash>
    <int2:textHash int2:hashCode="EYAsPg/31dLfhU" int2:id="ykG1Ne2u">
      <int2:state int2:value="Rejected" int2:type="AugLoop_Text_Critique"/>
    </int2:textHash>
    <int2:textHash int2:hashCode="ObZgnc55YYUjq4" int2:id="BKKMVHYo">
      <int2:state int2:value="Rejected" int2:type="AugLoop_Text_Critique"/>
    </int2:textHash>
    <int2:textHash int2:hashCode="edQaR+j+xVhWpq" int2:id="iI1UceZ3">
      <int2:state int2:value="Rejected" int2:type="AugLoop_Text_Critique"/>
    </int2:textHash>
    <int2:textHash int2:hashCode="e3Y7bYyLutG5pl" int2:id="EVufQZTr">
      <int2:state int2:value="Rejected" int2:type="AugLoop_Text_Critique"/>
    </int2:textHash>
    <int2:textHash int2:hashCode="nP+cONRbkMCSC6" int2:id="70jwe8JZ">
      <int2:state int2:value="Rejected" int2:type="AugLoop_Text_Critique"/>
    </int2:textHash>
    <int2:textHash int2:hashCode="Uq085iX8OFBO86" int2:id="fAZIAgRc">
      <int2:state int2:value="Rejected" int2:type="AugLoop_Text_Critique"/>
    </int2:textHash>
    <int2:textHash int2:hashCode="CAX8bKiT/j9i3j" int2:id="DtzaFgTm">
      <int2:state int2:value="Rejected" int2:type="AugLoop_Text_Critique"/>
    </int2:textHash>
    <int2:textHash int2:hashCode="8VacWHKQG/x7Yu" int2:id="dl77x8gf">
      <int2:state int2:value="Rejected" int2:type="AugLoop_Text_Critique"/>
    </int2:textHash>
    <int2:textHash int2:hashCode="VCPeFnKn2mHTXC" int2:id="aFFv68M7">
      <int2:state int2:value="Rejected" int2:type="AugLoop_Text_Critique"/>
    </int2:textHash>
    <int2:textHash int2:hashCode="6ChNPSHYu4WNQU" int2:id="FsSjUoGc">
      <int2:state int2:value="Rejected" int2:type="AugLoop_Text_Critique"/>
    </int2:textHash>
    <int2:textHash int2:hashCode="Ec5lgLDwYSU2Uu" int2:id="89v8gbBe">
      <int2:state int2:value="Rejected" int2:type="AugLoop_Text_Critique"/>
    </int2:textHash>
    <int2:textHash int2:hashCode="D+j96JbVY2flwW" int2:id="9XglN8RG">
      <int2:state int2:value="Rejected" int2:type="AugLoop_Text_Critique"/>
    </int2:textHash>
    <int2:textHash int2:hashCode="6AnKt9q3fPGjw0" int2:id="s09Awq8t">
      <int2:state int2:value="Rejected" int2:type="AugLoop_Text_Critique"/>
    </int2:textHash>
    <int2:textHash int2:hashCode="d7zNRsN4iJY2mu" int2:id="2ws391hD">
      <int2:state int2:value="Rejected" int2:type="AugLoop_Text_Critique"/>
    </int2:textHash>
    <int2:textHash int2:hashCode="O7knMqNsdpOHwO" int2:id="LdYdqAAC">
      <int2:state int2:value="Rejected" int2:type="AugLoop_Text_Critique"/>
    </int2:textHash>
    <int2:textHash int2:hashCode="/rnTd39xUIjyVt" int2:id="SxJO9Nvl">
      <int2:state int2:value="Rejected" int2:type="AugLoop_Text_Critique"/>
    </int2:textHash>
    <int2:textHash int2:hashCode="ZTw50g9qK0aUqk" int2:id="SFIN3Ehp">
      <int2:state int2:value="Rejected" int2:type="AugLoop_Text_Critique"/>
    </int2:textHash>
    <int2:textHash int2:hashCode="ofjoxFMFOhCVPz" int2:id="GujWchLy">
      <int2:state int2:value="Rejected" int2:type="AugLoop_Text_Critique"/>
    </int2:textHash>
    <int2:bookmark int2:bookmarkName="_Int_KE7oeUmS" int2:invalidationBookmarkName="" int2:hashCode="npd+WAro4DmCel" int2:id="2O6Sj3yW">
      <int2:state int2:value="Rejected" int2:type="AugLoop_Text_Critique"/>
    </int2:bookmark>
    <int2:bookmark int2:bookmarkName="_Int_Y8PSdmxU" int2:invalidationBookmarkName="" int2:hashCode="npd+WAro4DmCel" int2:id="zKYOP8oa">
      <int2:state int2:value="Rejected" int2:type="AugLoop_Text_Critique"/>
    </int2:bookmark>
    <int2:bookmark int2:bookmarkName="_Int_imX6Ve6W" int2:invalidationBookmarkName="" int2:hashCode="zcbjS8oS8UUr+t" int2:id="s2jl8vZJ">
      <int2:state int2:value="Rejected" int2:type="AugLoop_Text_Critique"/>
    </int2:bookmark>
    <int2:bookmark int2:bookmarkName="_Int_AiD3VUeQ" int2:invalidationBookmarkName="" int2:hashCode="npd+WAro4DmCel" int2:id="BOfnIYPP">
      <int2:state int2:value="Rejected" int2:type="AugLoop_Text_Critique"/>
    </int2:bookmark>
    <int2:bookmark int2:bookmarkName="_Int_oXEBTQYz" int2:invalidationBookmarkName="" int2:hashCode="npd+WAro4DmCel" int2:id="BCci3bem">
      <int2:state int2:value="Rejected" int2:type="AugLoop_Text_Critique"/>
    </int2:bookmark>
    <int2:bookmark int2:bookmarkName="_Int_BCFpEbJ8" int2:invalidationBookmarkName="" int2:hashCode="AyswOsHN+ab20z" int2:id="ijIPCRLp">
      <int2:state int2:value="Rejected" int2:type="AugLoop_Text_Critique"/>
    </int2:bookmark>
    <int2:bookmark int2:bookmarkName="_Int_r3QeJM79" int2:invalidationBookmarkName="" int2:hashCode="npd+WAro4DmCel" int2:id="CFkjnLk5">
      <int2:state int2:value="Rejected" int2:type="AugLoop_Text_Critique"/>
    </int2:bookmark>
    <int2:bookmark int2:bookmarkName="_Int_LA1KtT88" int2:invalidationBookmarkName="" int2:hashCode="npd+WAro4DmCel" int2:id="1BuzPgG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0CF3"/>
    <w:multiLevelType w:val="multilevel"/>
    <w:tmpl w:val="FFFFFFFF"/>
    <w:lvl w:ilvl="0">
      <w:start w:val="1"/>
      <w:numFmt w:val="bullet"/>
      <w:lvlText w:val="●"/>
      <w:lvlJc w:val="left"/>
      <w:pPr>
        <w:ind w:left="720" w:hanging="360"/>
      </w:pPr>
      <w:rPr>
        <w:u w:val="none"/>
      </w:rPr>
    </w:lvl>
    <w:lvl w:ilvl="1">
      <w:start w:val="1"/>
      <w:numFmt w:val="lowerRoman"/>
      <w:lvlText w:val="%2."/>
      <w:lvlJc w:val="left"/>
      <w:pPr>
        <w:ind w:left="1440" w:hanging="360"/>
      </w:pPr>
      <w:rPr>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D7873"/>
    <w:multiLevelType w:val="multilevel"/>
    <w:tmpl w:val="FFFFFFFF"/>
    <w:lvl w:ilvl="0">
      <w:start w:val="1"/>
      <w:numFmt w:val="bullet"/>
      <w:lvlText w:val="●"/>
      <w:lvlJc w:val="left"/>
      <w:pPr>
        <w:ind w:left="720" w:hanging="360"/>
      </w:pPr>
      <w:rPr>
        <w:u w:val="none"/>
      </w:rPr>
    </w:lvl>
    <w:lvl w:ilvl="1">
      <w:start w:val="1"/>
      <w:numFmt w:val="lowerRoman"/>
      <w:lvlText w:val="%2."/>
      <w:lvlJc w:val="left"/>
      <w:pPr>
        <w:ind w:left="1440" w:hanging="360"/>
      </w:pPr>
      <w:rPr>
        <w:color w:val="444444"/>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72E8B9F"/>
    <w:multiLevelType w:val="multilevel"/>
    <w:tmpl w:val="872AC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51881508">
    <w:abstractNumId w:val="2"/>
  </w:num>
  <w:num w:numId="2" w16cid:durableId="1024138967">
    <w:abstractNumId w:val="1"/>
  </w:num>
  <w:num w:numId="3" w16cid:durableId="153434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A"/>
    <w:rsid w:val="000037A2"/>
    <w:rsid w:val="00031839"/>
    <w:rsid w:val="00074C6D"/>
    <w:rsid w:val="001529D4"/>
    <w:rsid w:val="001554EA"/>
    <w:rsid w:val="00180F1D"/>
    <w:rsid w:val="001B699A"/>
    <w:rsid w:val="00216535"/>
    <w:rsid w:val="002515DC"/>
    <w:rsid w:val="00284FDE"/>
    <w:rsid w:val="002C228C"/>
    <w:rsid w:val="0032273E"/>
    <w:rsid w:val="003247A0"/>
    <w:rsid w:val="00374968"/>
    <w:rsid w:val="00403311"/>
    <w:rsid w:val="00447F27"/>
    <w:rsid w:val="00526930"/>
    <w:rsid w:val="00557BD0"/>
    <w:rsid w:val="005852A8"/>
    <w:rsid w:val="005C3532"/>
    <w:rsid w:val="006157F2"/>
    <w:rsid w:val="006411DB"/>
    <w:rsid w:val="00675FEC"/>
    <w:rsid w:val="006E3DAE"/>
    <w:rsid w:val="007C4EE8"/>
    <w:rsid w:val="008459C8"/>
    <w:rsid w:val="009062E6"/>
    <w:rsid w:val="009D59EA"/>
    <w:rsid w:val="00A01804"/>
    <w:rsid w:val="00A41127"/>
    <w:rsid w:val="00A45A56"/>
    <w:rsid w:val="00B4F81D"/>
    <w:rsid w:val="00B77A7A"/>
    <w:rsid w:val="00BC781F"/>
    <w:rsid w:val="00C666BD"/>
    <w:rsid w:val="00C67345"/>
    <w:rsid w:val="00CD085A"/>
    <w:rsid w:val="00D01C32"/>
    <w:rsid w:val="00D20953"/>
    <w:rsid w:val="00D31C56"/>
    <w:rsid w:val="00DC624F"/>
    <w:rsid w:val="00EB68B2"/>
    <w:rsid w:val="00F45D57"/>
    <w:rsid w:val="00F545DB"/>
    <w:rsid w:val="00F969C8"/>
    <w:rsid w:val="01008ABE"/>
    <w:rsid w:val="01593916"/>
    <w:rsid w:val="032654B5"/>
    <w:rsid w:val="03B45029"/>
    <w:rsid w:val="04013CBD"/>
    <w:rsid w:val="04374176"/>
    <w:rsid w:val="0457BCF8"/>
    <w:rsid w:val="04C44F05"/>
    <w:rsid w:val="0502181F"/>
    <w:rsid w:val="06A94653"/>
    <w:rsid w:val="06E09B13"/>
    <w:rsid w:val="0960312E"/>
    <w:rsid w:val="098AED3C"/>
    <w:rsid w:val="09D09FBE"/>
    <w:rsid w:val="0A102F19"/>
    <w:rsid w:val="0A2A1B02"/>
    <w:rsid w:val="0A365097"/>
    <w:rsid w:val="0AE13EF5"/>
    <w:rsid w:val="0AF9C78C"/>
    <w:rsid w:val="0B23EAB2"/>
    <w:rsid w:val="0B7E0965"/>
    <w:rsid w:val="0BABFF7A"/>
    <w:rsid w:val="0CE26229"/>
    <w:rsid w:val="0CEA9939"/>
    <w:rsid w:val="0DDB25F1"/>
    <w:rsid w:val="0E15F064"/>
    <w:rsid w:val="0E1CEC17"/>
    <w:rsid w:val="0F5760C7"/>
    <w:rsid w:val="0FE05B93"/>
    <w:rsid w:val="103F91EE"/>
    <w:rsid w:val="104B82AF"/>
    <w:rsid w:val="1137581C"/>
    <w:rsid w:val="120E5624"/>
    <w:rsid w:val="12284B02"/>
    <w:rsid w:val="133AF570"/>
    <w:rsid w:val="13699D47"/>
    <w:rsid w:val="13DDEE70"/>
    <w:rsid w:val="148AE3C2"/>
    <w:rsid w:val="14DB2BD3"/>
    <w:rsid w:val="15D4B5F7"/>
    <w:rsid w:val="15F20684"/>
    <w:rsid w:val="15F5018E"/>
    <w:rsid w:val="15F9910B"/>
    <w:rsid w:val="163ECDB4"/>
    <w:rsid w:val="166289B6"/>
    <w:rsid w:val="169ADDE8"/>
    <w:rsid w:val="16B700A7"/>
    <w:rsid w:val="16C8CD44"/>
    <w:rsid w:val="172C4F17"/>
    <w:rsid w:val="18E90C27"/>
    <w:rsid w:val="19116148"/>
    <w:rsid w:val="1AC577A7"/>
    <w:rsid w:val="1B093FA6"/>
    <w:rsid w:val="1BCC8B4E"/>
    <w:rsid w:val="1C6EBFA3"/>
    <w:rsid w:val="1CAC4049"/>
    <w:rsid w:val="1CCF38F2"/>
    <w:rsid w:val="1D63B8E9"/>
    <w:rsid w:val="1DAE50D8"/>
    <w:rsid w:val="1DDC5434"/>
    <w:rsid w:val="1F02EAEB"/>
    <w:rsid w:val="1FB9990B"/>
    <w:rsid w:val="207A7B99"/>
    <w:rsid w:val="208CABBD"/>
    <w:rsid w:val="20AAA15E"/>
    <w:rsid w:val="210A13A8"/>
    <w:rsid w:val="210C6883"/>
    <w:rsid w:val="21206BF1"/>
    <w:rsid w:val="228B691D"/>
    <w:rsid w:val="230D4470"/>
    <w:rsid w:val="234C04CC"/>
    <w:rsid w:val="24C7520B"/>
    <w:rsid w:val="24E82F3C"/>
    <w:rsid w:val="253C1B03"/>
    <w:rsid w:val="25C6DE5A"/>
    <w:rsid w:val="25D0A012"/>
    <w:rsid w:val="25DD84CB"/>
    <w:rsid w:val="25FCEFDD"/>
    <w:rsid w:val="262EAD9F"/>
    <w:rsid w:val="26B760AB"/>
    <w:rsid w:val="27C4AAF0"/>
    <w:rsid w:val="280E2C0D"/>
    <w:rsid w:val="285830B0"/>
    <w:rsid w:val="293B1DB4"/>
    <w:rsid w:val="294991A5"/>
    <w:rsid w:val="2987CE1C"/>
    <w:rsid w:val="29EF016D"/>
    <w:rsid w:val="29F23B83"/>
    <w:rsid w:val="2A5C7D52"/>
    <w:rsid w:val="2AA64F08"/>
    <w:rsid w:val="2AC4D03E"/>
    <w:rsid w:val="2B070B0E"/>
    <w:rsid w:val="2B4C1D14"/>
    <w:rsid w:val="2B931E49"/>
    <w:rsid w:val="2BB63CB4"/>
    <w:rsid w:val="2C00C207"/>
    <w:rsid w:val="2C31D5C9"/>
    <w:rsid w:val="2C751408"/>
    <w:rsid w:val="2C9BD392"/>
    <w:rsid w:val="2D1CDA0C"/>
    <w:rsid w:val="2D22258A"/>
    <w:rsid w:val="2D26A22F"/>
    <w:rsid w:val="2D470455"/>
    <w:rsid w:val="2D520D15"/>
    <w:rsid w:val="2D55C74D"/>
    <w:rsid w:val="2D922DD2"/>
    <w:rsid w:val="2DE55059"/>
    <w:rsid w:val="2E25CFFA"/>
    <w:rsid w:val="2E8C4EFB"/>
    <w:rsid w:val="2E93E488"/>
    <w:rsid w:val="2EEB1C2D"/>
    <w:rsid w:val="2F8FB4E6"/>
    <w:rsid w:val="3064A9FD"/>
    <w:rsid w:val="30782A04"/>
    <w:rsid w:val="30B53F00"/>
    <w:rsid w:val="3286F050"/>
    <w:rsid w:val="3293D516"/>
    <w:rsid w:val="329E3516"/>
    <w:rsid w:val="3372F333"/>
    <w:rsid w:val="33CCB96B"/>
    <w:rsid w:val="353405BE"/>
    <w:rsid w:val="35363D03"/>
    <w:rsid w:val="35721928"/>
    <w:rsid w:val="359EA5BF"/>
    <w:rsid w:val="35DB2DDB"/>
    <w:rsid w:val="36DF15E6"/>
    <w:rsid w:val="37A8E3A2"/>
    <w:rsid w:val="382C69DD"/>
    <w:rsid w:val="3909A19F"/>
    <w:rsid w:val="3A12C9A1"/>
    <w:rsid w:val="3A35E6A3"/>
    <w:rsid w:val="3A426576"/>
    <w:rsid w:val="3A42F8E9"/>
    <w:rsid w:val="3A5A6F97"/>
    <w:rsid w:val="3B0134A5"/>
    <w:rsid w:val="3C9D0506"/>
    <w:rsid w:val="3CC0ECBF"/>
    <w:rsid w:val="3CE87567"/>
    <w:rsid w:val="3CF7A125"/>
    <w:rsid w:val="3D4B6682"/>
    <w:rsid w:val="3DA31F5C"/>
    <w:rsid w:val="3DA71054"/>
    <w:rsid w:val="3E1D1CAD"/>
    <w:rsid w:val="3E5CBD20"/>
    <w:rsid w:val="3E6133FD"/>
    <w:rsid w:val="3E9D7A97"/>
    <w:rsid w:val="3F35951E"/>
    <w:rsid w:val="3F638624"/>
    <w:rsid w:val="3F736CCE"/>
    <w:rsid w:val="3FD95517"/>
    <w:rsid w:val="407490D1"/>
    <w:rsid w:val="410F69A3"/>
    <w:rsid w:val="41330238"/>
    <w:rsid w:val="41529C01"/>
    <w:rsid w:val="416CB29D"/>
    <w:rsid w:val="41938F6E"/>
    <w:rsid w:val="41CCFC3B"/>
    <w:rsid w:val="41D51B59"/>
    <w:rsid w:val="42310CD6"/>
    <w:rsid w:val="42E67521"/>
    <w:rsid w:val="43302E43"/>
    <w:rsid w:val="4341CDC1"/>
    <w:rsid w:val="445D6ECA"/>
    <w:rsid w:val="448305F4"/>
    <w:rsid w:val="44D31C2F"/>
    <w:rsid w:val="4502E1EA"/>
    <w:rsid w:val="45707DEF"/>
    <w:rsid w:val="45C6E93D"/>
    <w:rsid w:val="45F4B011"/>
    <w:rsid w:val="469EB24B"/>
    <w:rsid w:val="46E65F45"/>
    <w:rsid w:val="47950F8C"/>
    <w:rsid w:val="47B66D79"/>
    <w:rsid w:val="47EBC17E"/>
    <w:rsid w:val="4826B38C"/>
    <w:rsid w:val="48654BBF"/>
    <w:rsid w:val="490FD224"/>
    <w:rsid w:val="49A68D52"/>
    <w:rsid w:val="4ABFC002"/>
    <w:rsid w:val="4AC94D68"/>
    <w:rsid w:val="4ADEF49A"/>
    <w:rsid w:val="4AE56D57"/>
    <w:rsid w:val="4BB523F3"/>
    <w:rsid w:val="4BB7DDEA"/>
    <w:rsid w:val="4BCE0A7C"/>
    <w:rsid w:val="4BED586E"/>
    <w:rsid w:val="4BFC0D9A"/>
    <w:rsid w:val="4C548071"/>
    <w:rsid w:val="4DF85CE3"/>
    <w:rsid w:val="4E0B7EC7"/>
    <w:rsid w:val="4E9EC9AD"/>
    <w:rsid w:val="4EFB5ABC"/>
    <w:rsid w:val="4F481318"/>
    <w:rsid w:val="4F85BF8C"/>
    <w:rsid w:val="5076549A"/>
    <w:rsid w:val="50917D46"/>
    <w:rsid w:val="50E87BE6"/>
    <w:rsid w:val="52408448"/>
    <w:rsid w:val="52638D47"/>
    <w:rsid w:val="52895BB0"/>
    <w:rsid w:val="53CDC567"/>
    <w:rsid w:val="53D7C841"/>
    <w:rsid w:val="542C6A43"/>
    <w:rsid w:val="54343FF6"/>
    <w:rsid w:val="543DE7D8"/>
    <w:rsid w:val="54D66DB0"/>
    <w:rsid w:val="550AEF18"/>
    <w:rsid w:val="5712DF4E"/>
    <w:rsid w:val="5716A8EE"/>
    <w:rsid w:val="579BDCD7"/>
    <w:rsid w:val="5880080C"/>
    <w:rsid w:val="5893021C"/>
    <w:rsid w:val="58F671EE"/>
    <w:rsid w:val="59195762"/>
    <w:rsid w:val="59782486"/>
    <w:rsid w:val="597ED789"/>
    <w:rsid w:val="5991BE63"/>
    <w:rsid w:val="59CF2095"/>
    <w:rsid w:val="5A4CDE57"/>
    <w:rsid w:val="5A6C466E"/>
    <w:rsid w:val="5A6FD7F4"/>
    <w:rsid w:val="5A902E27"/>
    <w:rsid w:val="5A974BB2"/>
    <w:rsid w:val="5AB5D1A2"/>
    <w:rsid w:val="5AFD1847"/>
    <w:rsid w:val="5C4F38CD"/>
    <w:rsid w:val="5CA3A42B"/>
    <w:rsid w:val="5D2FC7B0"/>
    <w:rsid w:val="5E14ADD7"/>
    <w:rsid w:val="5E203F8C"/>
    <w:rsid w:val="5E3F748C"/>
    <w:rsid w:val="5E818FBD"/>
    <w:rsid w:val="5E91ADCC"/>
    <w:rsid w:val="5EC6A12A"/>
    <w:rsid w:val="5EE447B9"/>
    <w:rsid w:val="5F0243A0"/>
    <w:rsid w:val="5F0EB272"/>
    <w:rsid w:val="5F7398D4"/>
    <w:rsid w:val="5F81AC1E"/>
    <w:rsid w:val="60014D1D"/>
    <w:rsid w:val="60BB175B"/>
    <w:rsid w:val="60DDB301"/>
    <w:rsid w:val="622CB032"/>
    <w:rsid w:val="640F10AA"/>
    <w:rsid w:val="64542D42"/>
    <w:rsid w:val="6527C8D8"/>
    <w:rsid w:val="65662773"/>
    <w:rsid w:val="65EEFD88"/>
    <w:rsid w:val="661901FC"/>
    <w:rsid w:val="6731A119"/>
    <w:rsid w:val="678FD8E2"/>
    <w:rsid w:val="67F23689"/>
    <w:rsid w:val="67F2CFE7"/>
    <w:rsid w:val="6819FB00"/>
    <w:rsid w:val="6881CED1"/>
    <w:rsid w:val="6882D399"/>
    <w:rsid w:val="6A3D2FB6"/>
    <w:rsid w:val="6A50861A"/>
    <w:rsid w:val="6A6CE5C8"/>
    <w:rsid w:val="6A7327DD"/>
    <w:rsid w:val="6A7F606D"/>
    <w:rsid w:val="6C7ADF2B"/>
    <w:rsid w:val="6CBF5D8E"/>
    <w:rsid w:val="6D149D23"/>
    <w:rsid w:val="6D5AE893"/>
    <w:rsid w:val="6D636EAC"/>
    <w:rsid w:val="6DA43C9C"/>
    <w:rsid w:val="6DDCBE11"/>
    <w:rsid w:val="6EFDAE12"/>
    <w:rsid w:val="6F4939BD"/>
    <w:rsid w:val="6FC170F7"/>
    <w:rsid w:val="703C0F0E"/>
    <w:rsid w:val="7168124A"/>
    <w:rsid w:val="718D0A8A"/>
    <w:rsid w:val="71AC660C"/>
    <w:rsid w:val="7230EB82"/>
    <w:rsid w:val="727D4B6E"/>
    <w:rsid w:val="73D9A197"/>
    <w:rsid w:val="74E2FD97"/>
    <w:rsid w:val="74EB753F"/>
    <w:rsid w:val="752EEC58"/>
    <w:rsid w:val="753C99A4"/>
    <w:rsid w:val="769FB775"/>
    <w:rsid w:val="775A4918"/>
    <w:rsid w:val="77E49627"/>
    <w:rsid w:val="78030E06"/>
    <w:rsid w:val="78D71532"/>
    <w:rsid w:val="79388467"/>
    <w:rsid w:val="79B8C387"/>
    <w:rsid w:val="7A025D7B"/>
    <w:rsid w:val="7A7D94BD"/>
    <w:rsid w:val="7AD17F40"/>
    <w:rsid w:val="7BF7E691"/>
    <w:rsid w:val="7C1657B3"/>
    <w:rsid w:val="7CA05240"/>
    <w:rsid w:val="7D39FE3D"/>
    <w:rsid w:val="7E479AD8"/>
    <w:rsid w:val="7E6ADAF9"/>
    <w:rsid w:val="7F904B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B649704"/>
  <w15:docId w15:val="{F3EAF217-DCD4-44E8-9705-05E49D13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rsid w:val="00F45D57"/>
    <w:rPr>
      <w:color w:val="0000FF" w:themeColor="hyperlink"/>
      <w:u w:val="single"/>
    </w:rPr>
  </w:style>
  <w:style w:type="character" w:styleId="UnresolvedMention">
    <w:name w:val="Unresolved Mention"/>
    <w:basedOn w:val="DefaultParagraphFont"/>
    <w:uiPriority w:val="99"/>
    <w:semiHidden/>
    <w:unhideWhenUsed/>
    <w:rsid w:val="00F45D57"/>
    <w:rPr>
      <w:color w:val="605E5C"/>
      <w:shd w:val="clear" w:color="auto" w:fill="E1DFDD"/>
    </w:rPr>
  </w:style>
  <w:style w:type="paragraph" w:styleId="TOCHeading">
    <w:name w:val="TOC Heading"/>
    <w:basedOn w:val="Heading1"/>
    <w:next w:val="Normal"/>
    <w:uiPriority w:val="39"/>
    <w:unhideWhenUsed/>
    <w:qFormat/>
    <w:rsid w:val="00A45A56"/>
    <w:pPr>
      <w:spacing w:before="480"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A45A56"/>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A45A56"/>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A45A56"/>
    <w:pPr>
      <w:ind w:left="440"/>
    </w:pPr>
    <w:rPr>
      <w:rFonts w:asciiTheme="minorHAnsi" w:hAnsiTheme="minorHAnsi"/>
      <w:sz w:val="20"/>
      <w:szCs w:val="20"/>
    </w:rPr>
  </w:style>
  <w:style w:type="paragraph" w:styleId="TOC4">
    <w:name w:val="toc 4"/>
    <w:basedOn w:val="Normal"/>
    <w:next w:val="Normal"/>
    <w:autoRedefine/>
    <w:uiPriority w:val="39"/>
    <w:semiHidden/>
    <w:unhideWhenUsed/>
    <w:rsid w:val="00A45A5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A45A5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A45A5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A45A5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A45A5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A45A56"/>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61159">
      <w:bodyDiv w:val="1"/>
      <w:marLeft w:val="0"/>
      <w:marRight w:val="0"/>
      <w:marTop w:val="0"/>
      <w:marBottom w:val="0"/>
      <w:divBdr>
        <w:top w:val="none" w:sz="0" w:space="0" w:color="auto"/>
        <w:left w:val="none" w:sz="0" w:space="0" w:color="auto"/>
        <w:bottom w:val="none" w:sz="0" w:space="0" w:color="auto"/>
        <w:right w:val="none" w:sz="0" w:space="0" w:color="auto"/>
      </w:divBdr>
    </w:div>
    <w:div w:id="440346674">
      <w:bodyDiv w:val="1"/>
      <w:marLeft w:val="0"/>
      <w:marRight w:val="0"/>
      <w:marTop w:val="0"/>
      <w:marBottom w:val="0"/>
      <w:divBdr>
        <w:top w:val="none" w:sz="0" w:space="0" w:color="auto"/>
        <w:left w:val="none" w:sz="0" w:space="0" w:color="auto"/>
        <w:bottom w:val="none" w:sz="0" w:space="0" w:color="auto"/>
        <w:right w:val="none" w:sz="0" w:space="0" w:color="auto"/>
      </w:divBdr>
    </w:div>
    <w:div w:id="468403785">
      <w:bodyDiv w:val="1"/>
      <w:marLeft w:val="0"/>
      <w:marRight w:val="0"/>
      <w:marTop w:val="0"/>
      <w:marBottom w:val="0"/>
      <w:divBdr>
        <w:top w:val="none" w:sz="0" w:space="0" w:color="auto"/>
        <w:left w:val="none" w:sz="0" w:space="0" w:color="auto"/>
        <w:bottom w:val="none" w:sz="0" w:space="0" w:color="auto"/>
        <w:right w:val="none" w:sz="0" w:space="0" w:color="auto"/>
      </w:divBdr>
    </w:div>
    <w:div w:id="762141884">
      <w:bodyDiv w:val="1"/>
      <w:marLeft w:val="0"/>
      <w:marRight w:val="0"/>
      <w:marTop w:val="0"/>
      <w:marBottom w:val="0"/>
      <w:divBdr>
        <w:top w:val="none" w:sz="0" w:space="0" w:color="auto"/>
        <w:left w:val="none" w:sz="0" w:space="0" w:color="auto"/>
        <w:bottom w:val="none" w:sz="0" w:space="0" w:color="auto"/>
        <w:right w:val="none" w:sz="0" w:space="0" w:color="auto"/>
      </w:divBdr>
      <w:divsChild>
        <w:div w:id="1772159921">
          <w:marLeft w:val="0"/>
          <w:marRight w:val="0"/>
          <w:marTop w:val="0"/>
          <w:marBottom w:val="0"/>
          <w:divBdr>
            <w:top w:val="none" w:sz="0" w:space="0" w:color="auto"/>
            <w:left w:val="none" w:sz="0" w:space="0" w:color="auto"/>
            <w:bottom w:val="none" w:sz="0" w:space="0" w:color="auto"/>
            <w:right w:val="none" w:sz="0" w:space="0" w:color="auto"/>
          </w:divBdr>
          <w:divsChild>
            <w:div w:id="1253969271">
              <w:marLeft w:val="0"/>
              <w:marRight w:val="0"/>
              <w:marTop w:val="0"/>
              <w:marBottom w:val="0"/>
              <w:divBdr>
                <w:top w:val="none" w:sz="0" w:space="0" w:color="auto"/>
                <w:left w:val="none" w:sz="0" w:space="0" w:color="auto"/>
                <w:bottom w:val="none" w:sz="0" w:space="0" w:color="auto"/>
                <w:right w:val="none" w:sz="0" w:space="0" w:color="auto"/>
              </w:divBdr>
            </w:div>
            <w:div w:id="130178650">
              <w:marLeft w:val="0"/>
              <w:marRight w:val="0"/>
              <w:marTop w:val="0"/>
              <w:marBottom w:val="0"/>
              <w:divBdr>
                <w:top w:val="none" w:sz="0" w:space="0" w:color="auto"/>
                <w:left w:val="none" w:sz="0" w:space="0" w:color="auto"/>
                <w:bottom w:val="none" w:sz="0" w:space="0" w:color="auto"/>
                <w:right w:val="none" w:sz="0" w:space="0" w:color="auto"/>
              </w:divBdr>
            </w:div>
            <w:div w:id="1456026489">
              <w:marLeft w:val="0"/>
              <w:marRight w:val="0"/>
              <w:marTop w:val="0"/>
              <w:marBottom w:val="0"/>
              <w:divBdr>
                <w:top w:val="none" w:sz="0" w:space="0" w:color="auto"/>
                <w:left w:val="none" w:sz="0" w:space="0" w:color="auto"/>
                <w:bottom w:val="none" w:sz="0" w:space="0" w:color="auto"/>
                <w:right w:val="none" w:sz="0" w:space="0" w:color="auto"/>
              </w:divBdr>
            </w:div>
            <w:div w:id="1340623757">
              <w:marLeft w:val="0"/>
              <w:marRight w:val="0"/>
              <w:marTop w:val="0"/>
              <w:marBottom w:val="0"/>
              <w:divBdr>
                <w:top w:val="none" w:sz="0" w:space="0" w:color="auto"/>
                <w:left w:val="none" w:sz="0" w:space="0" w:color="auto"/>
                <w:bottom w:val="none" w:sz="0" w:space="0" w:color="auto"/>
                <w:right w:val="none" w:sz="0" w:space="0" w:color="auto"/>
              </w:divBdr>
            </w:div>
            <w:div w:id="182481203">
              <w:marLeft w:val="0"/>
              <w:marRight w:val="0"/>
              <w:marTop w:val="0"/>
              <w:marBottom w:val="0"/>
              <w:divBdr>
                <w:top w:val="none" w:sz="0" w:space="0" w:color="auto"/>
                <w:left w:val="none" w:sz="0" w:space="0" w:color="auto"/>
                <w:bottom w:val="none" w:sz="0" w:space="0" w:color="auto"/>
                <w:right w:val="none" w:sz="0" w:space="0" w:color="auto"/>
              </w:divBdr>
            </w:div>
            <w:div w:id="1235239642">
              <w:marLeft w:val="0"/>
              <w:marRight w:val="0"/>
              <w:marTop w:val="0"/>
              <w:marBottom w:val="0"/>
              <w:divBdr>
                <w:top w:val="none" w:sz="0" w:space="0" w:color="auto"/>
                <w:left w:val="none" w:sz="0" w:space="0" w:color="auto"/>
                <w:bottom w:val="none" w:sz="0" w:space="0" w:color="auto"/>
                <w:right w:val="none" w:sz="0" w:space="0" w:color="auto"/>
              </w:divBdr>
            </w:div>
            <w:div w:id="1004239152">
              <w:marLeft w:val="0"/>
              <w:marRight w:val="0"/>
              <w:marTop w:val="0"/>
              <w:marBottom w:val="0"/>
              <w:divBdr>
                <w:top w:val="none" w:sz="0" w:space="0" w:color="auto"/>
                <w:left w:val="none" w:sz="0" w:space="0" w:color="auto"/>
                <w:bottom w:val="none" w:sz="0" w:space="0" w:color="auto"/>
                <w:right w:val="none" w:sz="0" w:space="0" w:color="auto"/>
              </w:divBdr>
            </w:div>
            <w:div w:id="1533542767">
              <w:marLeft w:val="0"/>
              <w:marRight w:val="0"/>
              <w:marTop w:val="0"/>
              <w:marBottom w:val="0"/>
              <w:divBdr>
                <w:top w:val="none" w:sz="0" w:space="0" w:color="auto"/>
                <w:left w:val="none" w:sz="0" w:space="0" w:color="auto"/>
                <w:bottom w:val="none" w:sz="0" w:space="0" w:color="auto"/>
                <w:right w:val="none" w:sz="0" w:space="0" w:color="auto"/>
              </w:divBdr>
            </w:div>
            <w:div w:id="318582475">
              <w:marLeft w:val="0"/>
              <w:marRight w:val="0"/>
              <w:marTop w:val="0"/>
              <w:marBottom w:val="0"/>
              <w:divBdr>
                <w:top w:val="none" w:sz="0" w:space="0" w:color="auto"/>
                <w:left w:val="none" w:sz="0" w:space="0" w:color="auto"/>
                <w:bottom w:val="none" w:sz="0" w:space="0" w:color="auto"/>
                <w:right w:val="none" w:sz="0" w:space="0" w:color="auto"/>
              </w:divBdr>
            </w:div>
            <w:div w:id="963922940">
              <w:marLeft w:val="0"/>
              <w:marRight w:val="0"/>
              <w:marTop w:val="0"/>
              <w:marBottom w:val="0"/>
              <w:divBdr>
                <w:top w:val="none" w:sz="0" w:space="0" w:color="auto"/>
                <w:left w:val="none" w:sz="0" w:space="0" w:color="auto"/>
                <w:bottom w:val="none" w:sz="0" w:space="0" w:color="auto"/>
                <w:right w:val="none" w:sz="0" w:space="0" w:color="auto"/>
              </w:divBdr>
            </w:div>
            <w:div w:id="394820595">
              <w:marLeft w:val="0"/>
              <w:marRight w:val="0"/>
              <w:marTop w:val="0"/>
              <w:marBottom w:val="0"/>
              <w:divBdr>
                <w:top w:val="none" w:sz="0" w:space="0" w:color="auto"/>
                <w:left w:val="none" w:sz="0" w:space="0" w:color="auto"/>
                <w:bottom w:val="none" w:sz="0" w:space="0" w:color="auto"/>
                <w:right w:val="none" w:sz="0" w:space="0" w:color="auto"/>
              </w:divBdr>
            </w:div>
            <w:div w:id="920871898">
              <w:marLeft w:val="0"/>
              <w:marRight w:val="0"/>
              <w:marTop w:val="0"/>
              <w:marBottom w:val="0"/>
              <w:divBdr>
                <w:top w:val="none" w:sz="0" w:space="0" w:color="auto"/>
                <w:left w:val="none" w:sz="0" w:space="0" w:color="auto"/>
                <w:bottom w:val="none" w:sz="0" w:space="0" w:color="auto"/>
                <w:right w:val="none" w:sz="0" w:space="0" w:color="auto"/>
              </w:divBdr>
            </w:div>
            <w:div w:id="1501233715">
              <w:marLeft w:val="0"/>
              <w:marRight w:val="0"/>
              <w:marTop w:val="0"/>
              <w:marBottom w:val="0"/>
              <w:divBdr>
                <w:top w:val="none" w:sz="0" w:space="0" w:color="auto"/>
                <w:left w:val="none" w:sz="0" w:space="0" w:color="auto"/>
                <w:bottom w:val="none" w:sz="0" w:space="0" w:color="auto"/>
                <w:right w:val="none" w:sz="0" w:space="0" w:color="auto"/>
              </w:divBdr>
            </w:div>
            <w:div w:id="1813250756">
              <w:marLeft w:val="0"/>
              <w:marRight w:val="0"/>
              <w:marTop w:val="0"/>
              <w:marBottom w:val="0"/>
              <w:divBdr>
                <w:top w:val="none" w:sz="0" w:space="0" w:color="auto"/>
                <w:left w:val="none" w:sz="0" w:space="0" w:color="auto"/>
                <w:bottom w:val="none" w:sz="0" w:space="0" w:color="auto"/>
                <w:right w:val="none" w:sz="0" w:space="0" w:color="auto"/>
              </w:divBdr>
            </w:div>
            <w:div w:id="572854395">
              <w:marLeft w:val="0"/>
              <w:marRight w:val="0"/>
              <w:marTop w:val="0"/>
              <w:marBottom w:val="0"/>
              <w:divBdr>
                <w:top w:val="none" w:sz="0" w:space="0" w:color="auto"/>
                <w:left w:val="none" w:sz="0" w:space="0" w:color="auto"/>
                <w:bottom w:val="none" w:sz="0" w:space="0" w:color="auto"/>
                <w:right w:val="none" w:sz="0" w:space="0" w:color="auto"/>
              </w:divBdr>
            </w:div>
            <w:div w:id="1550610430">
              <w:marLeft w:val="0"/>
              <w:marRight w:val="0"/>
              <w:marTop w:val="0"/>
              <w:marBottom w:val="0"/>
              <w:divBdr>
                <w:top w:val="none" w:sz="0" w:space="0" w:color="auto"/>
                <w:left w:val="none" w:sz="0" w:space="0" w:color="auto"/>
                <w:bottom w:val="none" w:sz="0" w:space="0" w:color="auto"/>
                <w:right w:val="none" w:sz="0" w:space="0" w:color="auto"/>
              </w:divBdr>
              <w:divsChild>
                <w:div w:id="14139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28278">
      <w:bodyDiv w:val="1"/>
      <w:marLeft w:val="0"/>
      <w:marRight w:val="0"/>
      <w:marTop w:val="0"/>
      <w:marBottom w:val="0"/>
      <w:divBdr>
        <w:top w:val="none" w:sz="0" w:space="0" w:color="auto"/>
        <w:left w:val="none" w:sz="0" w:space="0" w:color="auto"/>
        <w:bottom w:val="none" w:sz="0" w:space="0" w:color="auto"/>
        <w:right w:val="none" w:sz="0" w:space="0" w:color="auto"/>
      </w:divBdr>
    </w:div>
    <w:div w:id="964115175">
      <w:bodyDiv w:val="1"/>
      <w:marLeft w:val="0"/>
      <w:marRight w:val="0"/>
      <w:marTop w:val="0"/>
      <w:marBottom w:val="0"/>
      <w:divBdr>
        <w:top w:val="none" w:sz="0" w:space="0" w:color="auto"/>
        <w:left w:val="none" w:sz="0" w:space="0" w:color="auto"/>
        <w:bottom w:val="none" w:sz="0" w:space="0" w:color="auto"/>
        <w:right w:val="none" w:sz="0" w:space="0" w:color="auto"/>
      </w:divBdr>
    </w:div>
    <w:div w:id="1286426894">
      <w:bodyDiv w:val="1"/>
      <w:marLeft w:val="0"/>
      <w:marRight w:val="0"/>
      <w:marTop w:val="0"/>
      <w:marBottom w:val="0"/>
      <w:divBdr>
        <w:top w:val="none" w:sz="0" w:space="0" w:color="auto"/>
        <w:left w:val="none" w:sz="0" w:space="0" w:color="auto"/>
        <w:bottom w:val="none" w:sz="0" w:space="0" w:color="auto"/>
        <w:right w:val="none" w:sz="0" w:space="0" w:color="auto"/>
      </w:divBdr>
    </w:div>
    <w:div w:id="1322394843">
      <w:bodyDiv w:val="1"/>
      <w:marLeft w:val="0"/>
      <w:marRight w:val="0"/>
      <w:marTop w:val="0"/>
      <w:marBottom w:val="0"/>
      <w:divBdr>
        <w:top w:val="none" w:sz="0" w:space="0" w:color="auto"/>
        <w:left w:val="none" w:sz="0" w:space="0" w:color="auto"/>
        <w:bottom w:val="none" w:sz="0" w:space="0" w:color="auto"/>
        <w:right w:val="none" w:sz="0" w:space="0" w:color="auto"/>
      </w:divBdr>
    </w:div>
    <w:div w:id="1544442936">
      <w:bodyDiv w:val="1"/>
      <w:marLeft w:val="0"/>
      <w:marRight w:val="0"/>
      <w:marTop w:val="0"/>
      <w:marBottom w:val="0"/>
      <w:divBdr>
        <w:top w:val="none" w:sz="0" w:space="0" w:color="auto"/>
        <w:left w:val="none" w:sz="0" w:space="0" w:color="auto"/>
        <w:bottom w:val="none" w:sz="0" w:space="0" w:color="auto"/>
        <w:right w:val="none" w:sz="0" w:space="0" w:color="auto"/>
      </w:divBdr>
    </w:div>
    <w:div w:id="1545408032">
      <w:bodyDiv w:val="1"/>
      <w:marLeft w:val="0"/>
      <w:marRight w:val="0"/>
      <w:marTop w:val="0"/>
      <w:marBottom w:val="0"/>
      <w:divBdr>
        <w:top w:val="none" w:sz="0" w:space="0" w:color="auto"/>
        <w:left w:val="none" w:sz="0" w:space="0" w:color="auto"/>
        <w:bottom w:val="none" w:sz="0" w:space="0" w:color="auto"/>
        <w:right w:val="none" w:sz="0" w:space="0" w:color="auto"/>
      </w:divBdr>
    </w:div>
    <w:div w:id="1791776595">
      <w:bodyDiv w:val="1"/>
      <w:marLeft w:val="0"/>
      <w:marRight w:val="0"/>
      <w:marTop w:val="0"/>
      <w:marBottom w:val="0"/>
      <w:divBdr>
        <w:top w:val="none" w:sz="0" w:space="0" w:color="auto"/>
        <w:left w:val="none" w:sz="0" w:space="0" w:color="auto"/>
        <w:bottom w:val="none" w:sz="0" w:space="0" w:color="auto"/>
        <w:right w:val="none" w:sz="0" w:space="0" w:color="auto"/>
      </w:divBdr>
    </w:div>
    <w:div w:id="2062055917">
      <w:bodyDiv w:val="1"/>
      <w:marLeft w:val="0"/>
      <w:marRight w:val="0"/>
      <w:marTop w:val="0"/>
      <w:marBottom w:val="0"/>
      <w:divBdr>
        <w:top w:val="none" w:sz="0" w:space="0" w:color="auto"/>
        <w:left w:val="none" w:sz="0" w:space="0" w:color="auto"/>
        <w:bottom w:val="none" w:sz="0" w:space="0" w:color="auto"/>
        <w:right w:val="none" w:sz="0" w:space="0" w:color="auto"/>
      </w:divBdr>
      <w:divsChild>
        <w:div w:id="520241584">
          <w:marLeft w:val="0"/>
          <w:marRight w:val="0"/>
          <w:marTop w:val="0"/>
          <w:marBottom w:val="0"/>
          <w:divBdr>
            <w:top w:val="none" w:sz="0" w:space="0" w:color="auto"/>
            <w:left w:val="none" w:sz="0" w:space="0" w:color="auto"/>
            <w:bottom w:val="none" w:sz="0" w:space="0" w:color="auto"/>
            <w:right w:val="none" w:sz="0" w:space="0" w:color="auto"/>
          </w:divBdr>
        </w:div>
        <w:div w:id="4797379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mc/articles/PMC916562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916562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cbi.nlm.nih.gov/pmc/articles/PMC91656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90871DB2-B0E1-B845-98F4-0F6563C0F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29</Pages>
  <Words>6038</Words>
  <Characters>34418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Wilson, Shanice (wilso4s5)</cp:lastModifiedBy>
  <cp:revision>7</cp:revision>
  <dcterms:created xsi:type="dcterms:W3CDTF">2024-03-14T02:51:00Z</dcterms:created>
  <dcterms:modified xsi:type="dcterms:W3CDTF">2024-07-05T20:56:00Z</dcterms:modified>
</cp:coreProperties>
</file>