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4D466" w14:textId="77777777" w:rsidR="00320800" w:rsidRPr="008F0CF8" w:rsidRDefault="00320800" w:rsidP="00320800">
      <w:pPr>
        <w:jc w:val="center"/>
        <w:rPr>
          <w:rFonts w:ascii="Times New Roman" w:hAnsi="Times New Roman"/>
          <w:sz w:val="32"/>
          <w:szCs w:val="32"/>
        </w:rPr>
      </w:pPr>
      <w:r w:rsidRPr="008F0CF8">
        <w:rPr>
          <w:rFonts w:ascii="Times New Roman" w:hAnsi="Times New Roman"/>
          <w:b/>
          <w:bCs/>
          <w:spacing w:val="-1"/>
          <w:sz w:val="32"/>
          <w:szCs w:val="32"/>
        </w:rPr>
        <w:t>Changing Support among European Union (EU) Members for the War in Ukraine</w:t>
      </w:r>
      <w:r>
        <w:rPr>
          <w:rFonts w:ascii="Times New Roman" w:hAnsi="Times New Roman"/>
          <w:b/>
          <w:bCs/>
          <w:spacing w:val="-1"/>
          <w:sz w:val="32"/>
          <w:szCs w:val="32"/>
        </w:rPr>
        <w:t xml:space="preserve"> (2022-25)</w:t>
      </w:r>
    </w:p>
    <w:p w14:paraId="38435CE0" w14:textId="77777777" w:rsidR="0033489D" w:rsidRDefault="0033489D">
      <w:pPr>
        <w:rPr>
          <w:rFonts w:ascii="Times New Roman" w:hAnsi="Times New Roman"/>
          <w:sz w:val="24"/>
          <w:szCs w:val="24"/>
        </w:rPr>
      </w:pPr>
    </w:p>
    <w:p w14:paraId="3B6125B8" w14:textId="6C1B80EF" w:rsidR="000759A0" w:rsidRPr="0033489D" w:rsidRDefault="0033489D">
      <w:pPr>
        <w:rPr>
          <w:rFonts w:ascii="Times New Roman" w:hAnsi="Times New Roman"/>
          <w:sz w:val="24"/>
          <w:szCs w:val="24"/>
        </w:rPr>
      </w:pPr>
      <w:r w:rsidRPr="0033489D">
        <w:rPr>
          <w:rFonts w:ascii="Times New Roman" w:hAnsi="Times New Roman"/>
          <w:sz w:val="24"/>
          <w:szCs w:val="24"/>
        </w:rPr>
        <w:t xml:space="preserve">The </w:t>
      </w:r>
      <w:r>
        <w:rPr>
          <w:rFonts w:ascii="Times New Roman" w:hAnsi="Times New Roman"/>
          <w:sz w:val="24"/>
          <w:szCs w:val="24"/>
        </w:rPr>
        <w:t xml:space="preserve">document below is a description of the measurement of the conditions and outcome sets for the model studying the impact on change in public support for Ukraine over the course of the first three years since the wholescale invasion in Ukraine among EU members. </w:t>
      </w:r>
    </w:p>
    <w:p w14:paraId="57F9469C" w14:textId="77777777" w:rsidR="0033489D" w:rsidRPr="0033489D" w:rsidRDefault="0033489D">
      <w:pPr>
        <w:rPr>
          <w:rFonts w:ascii="Times New Roman" w:hAnsi="Times New Roman"/>
          <w:sz w:val="24"/>
          <w:szCs w:val="24"/>
        </w:rPr>
      </w:pPr>
    </w:p>
    <w:p w14:paraId="7BDE5EC2" w14:textId="618FB208" w:rsidR="00320800" w:rsidRPr="0033489D" w:rsidRDefault="00320800" w:rsidP="00320800">
      <w:pPr>
        <w:rPr>
          <w:i/>
          <w:iCs/>
        </w:rPr>
      </w:pPr>
      <w:r w:rsidRPr="0033489D">
        <w:rPr>
          <w:rFonts w:ascii="Times New Roman" w:hAnsi="Times New Roman"/>
          <w:i/>
          <w:iCs/>
          <w:sz w:val="24"/>
          <w:szCs w:val="24"/>
        </w:rPr>
        <w:t>Conditions and Outcome Sets: Measurement and Justification for Data Calibration</w:t>
      </w:r>
    </w:p>
    <w:tbl>
      <w:tblPr>
        <w:tblStyle w:val="TableGrid2"/>
        <w:tblW w:w="1017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4500"/>
        <w:gridCol w:w="4230"/>
      </w:tblGrid>
      <w:tr w:rsidR="00320800" w:rsidRPr="00181498" w14:paraId="187DC11D" w14:textId="77777777" w:rsidTr="002B7344">
        <w:trPr>
          <w:trHeight w:val="683"/>
        </w:trPr>
        <w:tc>
          <w:tcPr>
            <w:tcW w:w="1440" w:type="dxa"/>
            <w:tcBorders>
              <w:top w:val="single" w:sz="4" w:space="0" w:color="auto"/>
            </w:tcBorders>
            <w:vAlign w:val="center"/>
          </w:tcPr>
          <w:p w14:paraId="1CE63EAD" w14:textId="77777777" w:rsidR="00320800" w:rsidRPr="00832CC2" w:rsidRDefault="00320800" w:rsidP="002B7344">
            <w:pPr>
              <w:spacing w:after="0" w:line="240" w:lineRule="auto"/>
              <w:jc w:val="center"/>
              <w:rPr>
                <w:rFonts w:ascii="Times New Roman" w:hAnsi="Times New Roman"/>
                <w:b/>
                <w:bCs/>
              </w:rPr>
            </w:pPr>
            <w:r w:rsidRPr="00832CC2">
              <w:rPr>
                <w:rFonts w:ascii="Times New Roman" w:hAnsi="Times New Roman"/>
                <w:b/>
                <w:bCs/>
              </w:rPr>
              <w:t>Set</w:t>
            </w:r>
          </w:p>
        </w:tc>
        <w:tc>
          <w:tcPr>
            <w:tcW w:w="4500" w:type="dxa"/>
            <w:tcBorders>
              <w:top w:val="single" w:sz="4" w:space="0" w:color="auto"/>
            </w:tcBorders>
            <w:vAlign w:val="center"/>
          </w:tcPr>
          <w:p w14:paraId="47FF329D" w14:textId="77777777" w:rsidR="00320800" w:rsidRPr="00832CC2" w:rsidRDefault="00320800" w:rsidP="002B7344">
            <w:pPr>
              <w:spacing w:after="0" w:line="240" w:lineRule="auto"/>
              <w:jc w:val="center"/>
              <w:rPr>
                <w:rFonts w:ascii="Times New Roman" w:hAnsi="Times New Roman"/>
                <w:b/>
                <w:bCs/>
              </w:rPr>
            </w:pPr>
            <w:r w:rsidRPr="00832CC2">
              <w:rPr>
                <w:rFonts w:ascii="Times New Roman" w:hAnsi="Times New Roman"/>
                <w:b/>
                <w:bCs/>
              </w:rPr>
              <w:t>Measurement</w:t>
            </w:r>
          </w:p>
        </w:tc>
        <w:tc>
          <w:tcPr>
            <w:tcW w:w="4230" w:type="dxa"/>
            <w:tcBorders>
              <w:top w:val="single" w:sz="4" w:space="0" w:color="auto"/>
            </w:tcBorders>
            <w:vAlign w:val="center"/>
          </w:tcPr>
          <w:p w14:paraId="24457A9E" w14:textId="77777777" w:rsidR="00320800" w:rsidRPr="00832CC2" w:rsidRDefault="00320800" w:rsidP="002B7344">
            <w:pPr>
              <w:spacing w:after="0" w:line="240" w:lineRule="auto"/>
              <w:jc w:val="center"/>
              <w:rPr>
                <w:rFonts w:ascii="Times New Roman" w:hAnsi="Times New Roman"/>
                <w:b/>
                <w:bCs/>
              </w:rPr>
            </w:pPr>
            <w:r>
              <w:rPr>
                <w:rFonts w:ascii="Times New Roman" w:hAnsi="Times New Roman"/>
                <w:b/>
                <w:bCs/>
              </w:rPr>
              <w:t xml:space="preserve">Justification for </w:t>
            </w:r>
            <w:r w:rsidRPr="00832CC2">
              <w:rPr>
                <w:rFonts w:ascii="Times New Roman" w:hAnsi="Times New Roman"/>
                <w:b/>
                <w:bCs/>
              </w:rPr>
              <w:t>Calibration</w:t>
            </w:r>
            <w:r>
              <w:rPr>
                <w:rStyle w:val="FootnoteReference"/>
                <w:rFonts w:ascii="Times New Roman" w:hAnsi="Times New Roman"/>
                <w:b/>
                <w:bCs/>
              </w:rPr>
              <w:footnoteReference w:id="1"/>
            </w:r>
          </w:p>
        </w:tc>
      </w:tr>
      <w:tr w:rsidR="00320800" w:rsidRPr="005C48D0" w14:paraId="694B4FAE" w14:textId="77777777" w:rsidTr="002B7344">
        <w:trPr>
          <w:trHeight w:val="2843"/>
        </w:trPr>
        <w:tc>
          <w:tcPr>
            <w:tcW w:w="1440" w:type="dxa"/>
            <w:tcBorders>
              <w:top w:val="single" w:sz="4" w:space="0" w:color="auto"/>
            </w:tcBorders>
            <w:vAlign w:val="center"/>
          </w:tcPr>
          <w:p w14:paraId="2B66347A" w14:textId="77777777" w:rsidR="00320800" w:rsidRPr="00AC4E8F" w:rsidRDefault="00320800" w:rsidP="002B7344">
            <w:pPr>
              <w:spacing w:after="0" w:line="240" w:lineRule="auto"/>
              <w:jc w:val="center"/>
              <w:rPr>
                <w:rFonts w:ascii="Times New Roman" w:hAnsi="Times New Roman"/>
                <w:b/>
                <w:bCs/>
                <w:sz w:val="20"/>
                <w:szCs w:val="20"/>
              </w:rPr>
            </w:pPr>
            <w:r>
              <w:rPr>
                <w:rFonts w:ascii="Times New Roman" w:hAnsi="Times New Roman"/>
                <w:b/>
                <w:bCs/>
                <w:sz w:val="20"/>
                <w:szCs w:val="20"/>
              </w:rPr>
              <w:t xml:space="preserve">Change in Public Support for Ukraine </w:t>
            </w:r>
            <w:r w:rsidRPr="00AC4E8F">
              <w:rPr>
                <w:rFonts w:ascii="Times New Roman" w:hAnsi="Times New Roman"/>
                <w:b/>
                <w:bCs/>
                <w:sz w:val="20"/>
                <w:szCs w:val="20"/>
              </w:rPr>
              <w:t>(</w:t>
            </w:r>
            <w:r w:rsidRPr="000759A0">
              <w:rPr>
                <w:rFonts w:ascii="Times New Roman" w:hAnsi="Times New Roman"/>
                <w:b/>
                <w:bCs/>
                <w:sz w:val="20"/>
                <w:szCs w:val="20"/>
              </w:rPr>
              <w:t>AVCHNG</w:t>
            </w:r>
            <w:r w:rsidRPr="00AC4E8F">
              <w:rPr>
                <w:rFonts w:ascii="Times New Roman" w:hAnsi="Times New Roman"/>
                <w:b/>
                <w:bCs/>
                <w:sz w:val="20"/>
                <w:szCs w:val="20"/>
              </w:rPr>
              <w:t>)</w:t>
            </w:r>
          </w:p>
        </w:tc>
        <w:tc>
          <w:tcPr>
            <w:tcW w:w="4500" w:type="dxa"/>
            <w:tcBorders>
              <w:top w:val="single" w:sz="4" w:space="0" w:color="auto"/>
            </w:tcBorders>
            <w:vAlign w:val="center"/>
          </w:tcPr>
          <w:p w14:paraId="0AF7F5FA" w14:textId="77777777" w:rsidR="00320800" w:rsidRPr="005C48D0" w:rsidRDefault="00320800" w:rsidP="002B7344">
            <w:pPr>
              <w:spacing w:after="0" w:line="240" w:lineRule="auto"/>
              <w:rPr>
                <w:rFonts w:ascii="Times New Roman" w:hAnsi="Times New Roman"/>
                <w:sz w:val="20"/>
                <w:szCs w:val="20"/>
              </w:rPr>
            </w:pPr>
            <w:r>
              <w:rPr>
                <w:rFonts w:ascii="Times New Roman" w:hAnsi="Times New Roman"/>
                <w:sz w:val="20"/>
                <w:szCs w:val="20"/>
              </w:rPr>
              <w:t xml:space="preserve">The score draws on data collected by Eurobarometer between Spring 2025 and Spring 2022. It measures the average value of the difference in net support for Ukraine from Spring 2022 to Spring 2025 across four different areas of support for the 27 EU members: military, financial, humanitarian and refugee support. Note that the Spring 2025 </w:t>
            </w:r>
            <w:r w:rsidRPr="003C7899">
              <w:rPr>
                <w:rFonts w:ascii="Times New Roman" w:hAnsi="Times New Roman"/>
                <w:i/>
                <w:sz w:val="20"/>
                <w:szCs w:val="20"/>
              </w:rPr>
              <w:t>Standard Eurobarometer</w:t>
            </w:r>
            <w:r>
              <w:rPr>
                <w:rFonts w:ascii="Times New Roman" w:hAnsi="Times New Roman"/>
                <w:sz w:val="20"/>
                <w:szCs w:val="20"/>
              </w:rPr>
              <w:t xml:space="preserve"> combined the humanitarian and financial support for Ukraine into a single question. The responses of the combined question were used to generate the score in both categories—the financial and the humanitarian support.</w:t>
            </w:r>
          </w:p>
        </w:tc>
        <w:tc>
          <w:tcPr>
            <w:tcW w:w="4230" w:type="dxa"/>
            <w:tcBorders>
              <w:top w:val="single" w:sz="4" w:space="0" w:color="auto"/>
            </w:tcBorders>
            <w:vAlign w:val="center"/>
          </w:tcPr>
          <w:p w14:paraId="65A44080" w14:textId="77777777" w:rsidR="00320800" w:rsidRPr="005C48D0" w:rsidRDefault="00320800" w:rsidP="002B7344">
            <w:pPr>
              <w:spacing w:after="120" w:line="240" w:lineRule="auto"/>
              <w:rPr>
                <w:rFonts w:ascii="Times New Roman" w:hAnsi="Times New Roman"/>
                <w:sz w:val="20"/>
                <w:szCs w:val="20"/>
              </w:rPr>
            </w:pPr>
            <w:r>
              <w:rPr>
                <w:rFonts w:ascii="Times New Roman" w:hAnsi="Times New Roman"/>
                <w:sz w:val="20"/>
                <w:szCs w:val="20"/>
              </w:rPr>
              <w:t xml:space="preserve">Our model assumes that support for Ukraine will decline over time. As a matter of fact, only four EU members (Fi, </w:t>
            </w:r>
            <w:proofErr w:type="spellStart"/>
            <w:r>
              <w:rPr>
                <w:rFonts w:ascii="Times New Roman" w:hAnsi="Times New Roman"/>
                <w:sz w:val="20"/>
                <w:szCs w:val="20"/>
              </w:rPr>
              <w:t>Sk</w:t>
            </w:r>
            <w:proofErr w:type="spellEnd"/>
            <w:r>
              <w:rPr>
                <w:rFonts w:ascii="Times New Roman" w:hAnsi="Times New Roman"/>
                <w:sz w:val="20"/>
                <w:szCs w:val="20"/>
              </w:rPr>
              <w:t>, De, Se) experienced an increase in overall support for Ukraine over the course of 36 months since February 24, 2022. Hence, we expect that fully out (0.05=0). Therefore, we accept as a crossover point (n=0.5) that a minor decline of 10% of more</w:t>
            </w:r>
            <w:r>
              <w:rPr>
                <w:rFonts w:ascii="Times New Roman" w:hAnsi="Times New Roman"/>
                <w:sz w:val="20"/>
                <w:szCs w:val="20"/>
                <w:lang w:val="bg-BG"/>
              </w:rPr>
              <w:t xml:space="preserve">. </w:t>
            </w:r>
            <w:r>
              <w:rPr>
                <w:rFonts w:ascii="Times New Roman" w:hAnsi="Times New Roman"/>
                <w:sz w:val="20"/>
                <w:szCs w:val="20"/>
              </w:rPr>
              <w:t>19 of the 27 EU members have experienced a decline of 10 or more percent of public support with 4 members (</w:t>
            </w:r>
            <w:proofErr w:type="spellStart"/>
            <w:r>
              <w:rPr>
                <w:rFonts w:ascii="Times New Roman" w:hAnsi="Times New Roman"/>
                <w:sz w:val="20"/>
                <w:szCs w:val="20"/>
              </w:rPr>
              <w:t>Cz</w:t>
            </w:r>
            <w:proofErr w:type="spellEnd"/>
            <w:r>
              <w:rPr>
                <w:rFonts w:ascii="Times New Roman" w:hAnsi="Times New Roman"/>
                <w:sz w:val="20"/>
                <w:szCs w:val="20"/>
              </w:rPr>
              <w:t>, Ro, Pl and Mt) experiencing a decline of 30 or more percent. Hence, a fully in membership (0.95=-30).</w:t>
            </w:r>
          </w:p>
        </w:tc>
      </w:tr>
      <w:tr w:rsidR="00320800" w:rsidRPr="005C48D0" w14:paraId="48D7D109" w14:textId="77777777" w:rsidTr="002B7344">
        <w:tc>
          <w:tcPr>
            <w:tcW w:w="1440" w:type="dxa"/>
            <w:vAlign w:val="center"/>
          </w:tcPr>
          <w:p w14:paraId="093CB69B" w14:textId="77777777" w:rsidR="00320800" w:rsidRPr="00AC4E8F" w:rsidRDefault="00320800" w:rsidP="002B7344">
            <w:pPr>
              <w:spacing w:after="0" w:line="240" w:lineRule="auto"/>
              <w:jc w:val="center"/>
              <w:rPr>
                <w:rFonts w:ascii="Times New Roman" w:hAnsi="Times New Roman"/>
                <w:b/>
                <w:bCs/>
                <w:sz w:val="20"/>
                <w:szCs w:val="20"/>
              </w:rPr>
            </w:pPr>
            <w:r w:rsidRPr="000759A0">
              <w:rPr>
                <w:rFonts w:ascii="Times New Roman" w:hAnsi="Times New Roman"/>
                <w:b/>
                <w:bCs/>
                <w:sz w:val="20"/>
                <w:szCs w:val="20"/>
              </w:rPr>
              <w:t>Economic Growth (GROWT)</w:t>
            </w:r>
          </w:p>
        </w:tc>
        <w:tc>
          <w:tcPr>
            <w:tcW w:w="4500" w:type="dxa"/>
            <w:vAlign w:val="center"/>
          </w:tcPr>
          <w:p w14:paraId="79361D77" w14:textId="77777777" w:rsidR="00320800" w:rsidRPr="005C48D0" w:rsidRDefault="00320800" w:rsidP="002B7344">
            <w:pPr>
              <w:spacing w:after="0" w:line="240" w:lineRule="auto"/>
              <w:rPr>
                <w:rFonts w:ascii="Times New Roman" w:hAnsi="Times New Roman"/>
                <w:sz w:val="20"/>
                <w:szCs w:val="20"/>
              </w:rPr>
            </w:pPr>
            <w:r>
              <w:rPr>
                <w:rFonts w:ascii="Times New Roman" w:hAnsi="Times New Roman"/>
                <w:sz w:val="20"/>
                <w:szCs w:val="20"/>
              </w:rPr>
              <w:t>Indicators for economic growth are based on Eurostat’s real GDP Growth rate indicator for 2022. Me</w:t>
            </w:r>
            <w:r w:rsidRPr="001C363F">
              <w:rPr>
                <w:rFonts w:ascii="Times New Roman" w:hAnsi="Times New Roman"/>
                <w:sz w:val="20"/>
                <w:szCs w:val="20"/>
              </w:rPr>
              <w:t xml:space="preserve">asuring </w:t>
            </w:r>
            <w:r>
              <w:rPr>
                <w:rFonts w:ascii="Times New Roman" w:hAnsi="Times New Roman"/>
                <w:sz w:val="20"/>
                <w:szCs w:val="20"/>
              </w:rPr>
              <w:t xml:space="preserve">GDP </w:t>
            </w:r>
            <w:r w:rsidRPr="001C363F">
              <w:rPr>
                <w:rFonts w:ascii="Times New Roman" w:hAnsi="Times New Roman"/>
                <w:sz w:val="20"/>
                <w:szCs w:val="20"/>
              </w:rPr>
              <w:t xml:space="preserve">growth rate </w:t>
            </w:r>
            <w:r>
              <w:rPr>
                <w:rFonts w:ascii="Times New Roman" w:hAnsi="Times New Roman"/>
                <w:sz w:val="20"/>
                <w:szCs w:val="20"/>
              </w:rPr>
              <w:t xml:space="preserve">is measured at </w:t>
            </w:r>
            <w:r w:rsidRPr="001C363F">
              <w:rPr>
                <w:rFonts w:ascii="Times New Roman" w:hAnsi="Times New Roman"/>
                <w:sz w:val="20"/>
                <w:szCs w:val="20"/>
              </w:rPr>
              <w:t>current prices</w:t>
            </w:r>
            <w:r>
              <w:rPr>
                <w:rFonts w:ascii="Times New Roman" w:hAnsi="Times New Roman"/>
                <w:sz w:val="20"/>
                <w:szCs w:val="20"/>
              </w:rPr>
              <w:t>. C</w:t>
            </w:r>
            <w:r w:rsidRPr="001C363F">
              <w:rPr>
                <w:rFonts w:ascii="Times New Roman" w:hAnsi="Times New Roman"/>
                <w:sz w:val="20"/>
                <w:szCs w:val="20"/>
              </w:rPr>
              <w:t>hain-linked series</w:t>
            </w:r>
            <w:r>
              <w:rPr>
                <w:rFonts w:ascii="Times New Roman" w:hAnsi="Times New Roman"/>
                <w:sz w:val="20"/>
                <w:szCs w:val="20"/>
              </w:rPr>
              <w:t xml:space="preserve"> </w:t>
            </w:r>
            <w:r w:rsidRPr="001C363F">
              <w:rPr>
                <w:rFonts w:ascii="Times New Roman" w:hAnsi="Times New Roman"/>
                <w:sz w:val="20"/>
                <w:szCs w:val="20"/>
              </w:rPr>
              <w:t xml:space="preserve">are valued in the prices of the previous year and </w:t>
            </w:r>
            <w:r>
              <w:rPr>
                <w:rFonts w:ascii="Times New Roman" w:hAnsi="Times New Roman"/>
                <w:sz w:val="20"/>
                <w:szCs w:val="20"/>
              </w:rPr>
              <w:t xml:space="preserve">are </w:t>
            </w:r>
            <w:r w:rsidRPr="001C363F">
              <w:rPr>
                <w:rFonts w:ascii="Times New Roman" w:hAnsi="Times New Roman"/>
                <w:sz w:val="20"/>
                <w:szCs w:val="20"/>
              </w:rPr>
              <w:t xml:space="preserve">computed </w:t>
            </w:r>
            <w:r>
              <w:rPr>
                <w:rFonts w:ascii="Times New Roman" w:hAnsi="Times New Roman"/>
                <w:sz w:val="20"/>
                <w:szCs w:val="20"/>
              </w:rPr>
              <w:t xml:space="preserve">in terms of </w:t>
            </w:r>
            <w:r w:rsidRPr="001C363F">
              <w:rPr>
                <w:rFonts w:ascii="Times New Roman" w:hAnsi="Times New Roman"/>
                <w:sz w:val="20"/>
                <w:szCs w:val="20"/>
              </w:rPr>
              <w:t xml:space="preserve">volume changes imposed on the level of a reference year. </w:t>
            </w:r>
            <w:r>
              <w:rPr>
                <w:rFonts w:ascii="Times New Roman" w:hAnsi="Times New Roman"/>
                <w:sz w:val="20"/>
                <w:szCs w:val="20"/>
              </w:rPr>
              <w:t xml:space="preserve">This technique minimizes </w:t>
            </w:r>
            <w:r w:rsidRPr="001C363F">
              <w:rPr>
                <w:rFonts w:ascii="Times New Roman" w:hAnsi="Times New Roman"/>
                <w:sz w:val="20"/>
                <w:szCs w:val="20"/>
              </w:rPr>
              <w:t>growth rate</w:t>
            </w:r>
            <w:r>
              <w:rPr>
                <w:rFonts w:ascii="Times New Roman" w:hAnsi="Times New Roman"/>
                <w:sz w:val="20"/>
                <w:szCs w:val="20"/>
              </w:rPr>
              <w:t xml:space="preserve"> inflation</w:t>
            </w:r>
            <w:r w:rsidRPr="001C363F">
              <w:rPr>
                <w:rFonts w:ascii="Times New Roman" w:hAnsi="Times New Roman"/>
                <w:sz w:val="20"/>
                <w:szCs w:val="20"/>
              </w:rPr>
              <w:t xml:space="preserve">. </w:t>
            </w:r>
            <w:r>
              <w:rPr>
                <w:rFonts w:ascii="Times New Roman" w:hAnsi="Times New Roman"/>
                <w:sz w:val="20"/>
                <w:szCs w:val="20"/>
              </w:rPr>
              <w:t xml:space="preserve">Data are measured </w:t>
            </w:r>
            <w:r w:rsidRPr="001C363F">
              <w:rPr>
                <w:rFonts w:ascii="Times New Roman" w:hAnsi="Times New Roman"/>
                <w:sz w:val="20"/>
                <w:szCs w:val="20"/>
              </w:rPr>
              <w:t>as percentage change on the previous period and as percentage change on the previous period per capita.</w:t>
            </w:r>
            <w:r>
              <w:rPr>
                <w:rFonts w:ascii="Times New Roman" w:hAnsi="Times New Roman"/>
                <w:sz w:val="20"/>
                <w:szCs w:val="20"/>
              </w:rPr>
              <w:t xml:space="preserve"> For details see: </w:t>
            </w:r>
            <w:r w:rsidRPr="001C363F">
              <w:rPr>
                <w:rFonts w:ascii="Times New Roman" w:hAnsi="Times New Roman"/>
                <w:sz w:val="20"/>
                <w:szCs w:val="20"/>
              </w:rPr>
              <w:t>https://tinyurl.com/8284psp6</w:t>
            </w:r>
          </w:p>
        </w:tc>
        <w:tc>
          <w:tcPr>
            <w:tcW w:w="4230" w:type="dxa"/>
            <w:vAlign w:val="center"/>
          </w:tcPr>
          <w:p w14:paraId="2C15512C" w14:textId="77777777" w:rsidR="00320800" w:rsidRPr="005C48D0" w:rsidRDefault="00320800" w:rsidP="002B7344">
            <w:pPr>
              <w:spacing w:after="120" w:line="240" w:lineRule="auto"/>
              <w:rPr>
                <w:rFonts w:ascii="Times New Roman" w:hAnsi="Times New Roman"/>
                <w:sz w:val="20"/>
                <w:szCs w:val="20"/>
              </w:rPr>
            </w:pPr>
            <w:r>
              <w:rPr>
                <w:rFonts w:ascii="Times New Roman" w:hAnsi="Times New Roman"/>
                <w:sz w:val="20"/>
                <w:szCs w:val="20"/>
              </w:rPr>
              <w:t xml:space="preserve">Eurostat data show that average real GDP growth rate in the EU and in the Eurozone area is 3.5%. Only 3 nations (0.95% or fully out) have higher than 7% economic growth—Croatia, Cyprus and Portugal, while Estonia, Slovakia and Finland are the three EU economies with real growth below 1% for 2022. </w:t>
            </w:r>
          </w:p>
        </w:tc>
      </w:tr>
      <w:tr w:rsidR="00320800" w:rsidRPr="005C48D0" w14:paraId="3B7D5211" w14:textId="77777777" w:rsidTr="002B7344">
        <w:trPr>
          <w:trHeight w:val="693"/>
        </w:trPr>
        <w:tc>
          <w:tcPr>
            <w:tcW w:w="1440" w:type="dxa"/>
            <w:vAlign w:val="center"/>
          </w:tcPr>
          <w:p w14:paraId="1A7B2E1F" w14:textId="77777777" w:rsidR="00320800" w:rsidRPr="00AC4E8F" w:rsidRDefault="00320800" w:rsidP="002B7344">
            <w:pPr>
              <w:spacing w:after="0" w:line="240" w:lineRule="auto"/>
              <w:jc w:val="center"/>
              <w:rPr>
                <w:rFonts w:ascii="Times New Roman" w:hAnsi="Times New Roman"/>
                <w:b/>
                <w:bCs/>
                <w:sz w:val="20"/>
                <w:szCs w:val="20"/>
              </w:rPr>
            </w:pPr>
            <w:r w:rsidRPr="000759A0">
              <w:rPr>
                <w:rFonts w:ascii="Times New Roman" w:hAnsi="Times New Roman"/>
                <w:b/>
                <w:bCs/>
                <w:sz w:val="20"/>
                <w:szCs w:val="20"/>
              </w:rPr>
              <w:t>Democratic Rule (DEMOCR)</w:t>
            </w:r>
            <w:r w:rsidRPr="00AC4E8F">
              <w:rPr>
                <w:rFonts w:ascii="Times New Roman" w:hAnsi="Times New Roman"/>
                <w:b/>
                <w:bCs/>
                <w:sz w:val="20"/>
                <w:szCs w:val="20"/>
              </w:rPr>
              <w:t>)</w:t>
            </w:r>
          </w:p>
        </w:tc>
        <w:tc>
          <w:tcPr>
            <w:tcW w:w="4500" w:type="dxa"/>
            <w:vAlign w:val="center"/>
          </w:tcPr>
          <w:p w14:paraId="02A52BAA" w14:textId="77777777" w:rsidR="00320800" w:rsidRPr="005C48D0" w:rsidRDefault="00320800" w:rsidP="002B7344">
            <w:pPr>
              <w:spacing w:after="0" w:line="240" w:lineRule="auto"/>
              <w:rPr>
                <w:rFonts w:ascii="Times New Roman" w:hAnsi="Times New Roman"/>
                <w:sz w:val="20"/>
                <w:szCs w:val="20"/>
              </w:rPr>
            </w:pPr>
            <w:r>
              <w:rPr>
                <w:rFonts w:ascii="Times New Roman" w:hAnsi="Times New Roman"/>
                <w:sz w:val="20"/>
                <w:szCs w:val="20"/>
              </w:rPr>
              <w:t xml:space="preserve">The democracy index overall score by the Economist Intelligence Unit </w:t>
            </w:r>
            <w:r w:rsidRPr="0065102C">
              <w:rPr>
                <w:rFonts w:ascii="Times New Roman" w:hAnsi="Times New Roman"/>
                <w:sz w:val="20"/>
                <w:szCs w:val="20"/>
              </w:rPr>
              <w:t>is constructed from 60 individual indicators assessing different aspects of democracy They are grouped into five broad categories that includes the electoral process, civil liberties, the functioning of government, political participation and political culture. For more information about the 2022 report, see:</w:t>
            </w:r>
            <w:r>
              <w:rPr>
                <w:rFonts w:ascii="Times New Roman" w:hAnsi="Times New Roman"/>
                <w:sz w:val="20"/>
                <w:szCs w:val="20"/>
              </w:rPr>
              <w:t xml:space="preserve"> </w:t>
            </w:r>
            <w:r w:rsidRPr="0065102C">
              <w:rPr>
                <w:rFonts w:ascii="Times New Roman" w:hAnsi="Times New Roman"/>
                <w:sz w:val="20"/>
                <w:szCs w:val="20"/>
              </w:rPr>
              <w:t>https://tinyurl.com/4bds5ydw</w:t>
            </w:r>
          </w:p>
        </w:tc>
        <w:tc>
          <w:tcPr>
            <w:tcW w:w="4230" w:type="dxa"/>
            <w:vAlign w:val="center"/>
          </w:tcPr>
          <w:p w14:paraId="1588C86A" w14:textId="77777777" w:rsidR="00320800" w:rsidRPr="005C48D0" w:rsidRDefault="00320800" w:rsidP="002B7344">
            <w:pPr>
              <w:spacing w:after="120" w:line="240" w:lineRule="auto"/>
              <w:rPr>
                <w:rFonts w:ascii="Times New Roman" w:hAnsi="Times New Roman"/>
                <w:sz w:val="20"/>
                <w:szCs w:val="20"/>
              </w:rPr>
            </w:pPr>
            <w:r w:rsidRPr="0065102C">
              <w:rPr>
                <w:rFonts w:ascii="Times New Roman" w:hAnsi="Times New Roman"/>
                <w:sz w:val="20"/>
                <w:szCs w:val="20"/>
              </w:rPr>
              <w:t xml:space="preserve">The Economist Intelligence Unit has developed a scale ranking democracy in five categories; (1) full democracy: from 8.01–10; (2) flawed democracy: 6.01–8.00; (3) hybrid regime: 4.01–6.00 and authoritarian regime: 0–4.00. Hence 8.0 (i.e., a full democracy) is accepted as a crossover point (0.5=8). The EU has five members ranking over 9, while the lowest ranking members from Central and Eastern Europe score 6.45 or higher (in this case Romania). Hence the fully in score </w:t>
            </w:r>
            <w:r w:rsidRPr="0065102C">
              <w:rPr>
                <w:rFonts w:ascii="Times New Roman" w:hAnsi="Times New Roman"/>
                <w:sz w:val="20"/>
                <w:szCs w:val="20"/>
              </w:rPr>
              <w:lastRenderedPageBreak/>
              <w:t>(0.95=9), while the fully out (hybrid regime 0.05=6).</w:t>
            </w:r>
          </w:p>
        </w:tc>
      </w:tr>
      <w:tr w:rsidR="00320800" w:rsidRPr="005C48D0" w14:paraId="57E9F292" w14:textId="77777777" w:rsidTr="002B7344">
        <w:trPr>
          <w:trHeight w:val="549"/>
        </w:trPr>
        <w:tc>
          <w:tcPr>
            <w:tcW w:w="1440" w:type="dxa"/>
            <w:vAlign w:val="center"/>
          </w:tcPr>
          <w:p w14:paraId="51C23290" w14:textId="77777777" w:rsidR="00320800" w:rsidRPr="00AC4E8F" w:rsidRDefault="00320800" w:rsidP="002B7344">
            <w:pPr>
              <w:spacing w:after="0" w:line="240" w:lineRule="auto"/>
              <w:jc w:val="center"/>
              <w:rPr>
                <w:rFonts w:ascii="Times New Roman" w:hAnsi="Times New Roman"/>
                <w:b/>
                <w:bCs/>
                <w:sz w:val="20"/>
                <w:szCs w:val="20"/>
              </w:rPr>
            </w:pPr>
            <w:r w:rsidRPr="000759A0">
              <w:rPr>
                <w:rFonts w:ascii="Times New Roman" w:hAnsi="Times New Roman"/>
                <w:b/>
                <w:bCs/>
                <w:sz w:val="20"/>
                <w:szCs w:val="20"/>
              </w:rPr>
              <w:lastRenderedPageBreak/>
              <w:t>Distance from conflict (DISTAN)</w:t>
            </w:r>
          </w:p>
        </w:tc>
        <w:tc>
          <w:tcPr>
            <w:tcW w:w="4500" w:type="dxa"/>
            <w:vAlign w:val="center"/>
          </w:tcPr>
          <w:p w14:paraId="221A96BB" w14:textId="77777777" w:rsidR="00320800" w:rsidRPr="005C48D0" w:rsidRDefault="00320800" w:rsidP="002B7344">
            <w:pPr>
              <w:spacing w:after="0" w:line="240" w:lineRule="auto"/>
              <w:rPr>
                <w:rFonts w:ascii="Times New Roman" w:hAnsi="Times New Roman"/>
                <w:sz w:val="20"/>
                <w:szCs w:val="20"/>
              </w:rPr>
            </w:pPr>
            <w:r>
              <w:rPr>
                <w:rFonts w:ascii="Times New Roman" w:hAnsi="Times New Roman"/>
                <w:sz w:val="20"/>
                <w:szCs w:val="20"/>
              </w:rPr>
              <w:t xml:space="preserve">Distance from conflict measures the </w:t>
            </w:r>
            <w:r w:rsidRPr="0065102C">
              <w:rPr>
                <w:rFonts w:ascii="Times New Roman" w:hAnsi="Times New Roman"/>
                <w:sz w:val="20"/>
                <w:szCs w:val="20"/>
              </w:rPr>
              <w:t xml:space="preserve">average distance (in thousand kilometers) from the </w:t>
            </w:r>
            <w:r>
              <w:rPr>
                <w:rFonts w:ascii="Times New Roman" w:hAnsi="Times New Roman"/>
                <w:sz w:val="20"/>
                <w:szCs w:val="20"/>
              </w:rPr>
              <w:t xml:space="preserve">physical </w:t>
            </w:r>
            <w:r w:rsidRPr="0065102C">
              <w:rPr>
                <w:rFonts w:ascii="Times New Roman" w:hAnsi="Times New Roman"/>
                <w:sz w:val="20"/>
                <w:szCs w:val="20"/>
              </w:rPr>
              <w:t>center point of the national capital of each EU member</w:t>
            </w:r>
            <w:r>
              <w:rPr>
                <w:rFonts w:ascii="Times New Roman" w:hAnsi="Times New Roman"/>
                <w:sz w:val="20"/>
                <w:szCs w:val="20"/>
              </w:rPr>
              <w:t xml:space="preserve"> </w:t>
            </w:r>
            <w:r w:rsidRPr="0065102C">
              <w:rPr>
                <w:rFonts w:ascii="Times New Roman" w:hAnsi="Times New Roman"/>
                <w:sz w:val="20"/>
                <w:szCs w:val="20"/>
              </w:rPr>
              <w:t xml:space="preserve">to the south-western and north-eastern tips of the frontline in </w:t>
            </w:r>
            <w:r>
              <w:rPr>
                <w:rFonts w:ascii="Times New Roman" w:hAnsi="Times New Roman"/>
                <w:sz w:val="20"/>
                <w:szCs w:val="20"/>
              </w:rPr>
              <w:t xml:space="preserve">Eastern </w:t>
            </w:r>
            <w:r w:rsidRPr="0065102C">
              <w:rPr>
                <w:rFonts w:ascii="Times New Roman" w:hAnsi="Times New Roman"/>
                <w:sz w:val="20"/>
                <w:szCs w:val="20"/>
              </w:rPr>
              <w:t>Ukraine</w:t>
            </w:r>
            <w:r>
              <w:rPr>
                <w:rFonts w:ascii="Times New Roman" w:hAnsi="Times New Roman"/>
                <w:sz w:val="20"/>
                <w:szCs w:val="20"/>
              </w:rPr>
              <w:t xml:space="preserve">. </w:t>
            </w:r>
            <w:r w:rsidRPr="0065102C">
              <w:rPr>
                <w:rFonts w:ascii="Times New Roman" w:hAnsi="Times New Roman"/>
                <w:sz w:val="20"/>
                <w:szCs w:val="20"/>
              </w:rPr>
              <w:t xml:space="preserve">I have accepted that the western tip of the frontline is </w:t>
            </w:r>
            <w:proofErr w:type="spellStart"/>
            <w:r w:rsidRPr="0065102C">
              <w:rPr>
                <w:rFonts w:ascii="Times New Roman" w:hAnsi="Times New Roman"/>
                <w:sz w:val="20"/>
                <w:szCs w:val="20"/>
              </w:rPr>
              <w:t>Kinburnsʹka</w:t>
            </w:r>
            <w:proofErr w:type="spellEnd"/>
            <w:r w:rsidRPr="0065102C">
              <w:rPr>
                <w:rFonts w:ascii="Times New Roman" w:hAnsi="Times New Roman"/>
                <w:sz w:val="20"/>
                <w:szCs w:val="20"/>
              </w:rPr>
              <w:t xml:space="preserve"> Kosa National Park (Geographic Coordinates: 46°34’</w:t>
            </w:r>
            <w:proofErr w:type="gramStart"/>
            <w:r w:rsidRPr="0065102C">
              <w:rPr>
                <w:rFonts w:ascii="Times New Roman" w:hAnsi="Times New Roman"/>
                <w:sz w:val="20"/>
                <w:szCs w:val="20"/>
              </w:rPr>
              <w:t>37”N</w:t>
            </w:r>
            <w:proofErr w:type="gramEnd"/>
            <w:r w:rsidRPr="0065102C">
              <w:rPr>
                <w:rFonts w:ascii="Times New Roman" w:hAnsi="Times New Roman"/>
                <w:sz w:val="20"/>
                <w:szCs w:val="20"/>
              </w:rPr>
              <w:t xml:space="preserve"> 31°30’</w:t>
            </w:r>
            <w:proofErr w:type="gramStart"/>
            <w:r w:rsidRPr="0065102C">
              <w:rPr>
                <w:rFonts w:ascii="Times New Roman" w:hAnsi="Times New Roman"/>
                <w:sz w:val="20"/>
                <w:szCs w:val="20"/>
              </w:rPr>
              <w:t>44”E</w:t>
            </w:r>
            <w:proofErr w:type="gramEnd"/>
            <w:r w:rsidRPr="0065102C">
              <w:rPr>
                <w:rFonts w:ascii="Times New Roman" w:hAnsi="Times New Roman"/>
                <w:sz w:val="20"/>
                <w:szCs w:val="20"/>
              </w:rPr>
              <w:t xml:space="preserve">) and the eastern tip of the frontline is at the village of </w:t>
            </w:r>
            <w:proofErr w:type="spellStart"/>
            <w:r w:rsidRPr="0065102C">
              <w:rPr>
                <w:rFonts w:ascii="Times New Roman" w:hAnsi="Times New Roman"/>
                <w:sz w:val="20"/>
                <w:szCs w:val="20"/>
              </w:rPr>
              <w:t>Topoli</w:t>
            </w:r>
            <w:proofErr w:type="spellEnd"/>
            <w:r w:rsidRPr="0065102C">
              <w:rPr>
                <w:rFonts w:ascii="Times New Roman" w:hAnsi="Times New Roman"/>
                <w:sz w:val="20"/>
                <w:szCs w:val="20"/>
              </w:rPr>
              <w:t xml:space="preserve"> in Kharkiv Oblast (Geographic Coordinates: 49°57’52″N, 37°54′31″E).</w:t>
            </w:r>
          </w:p>
        </w:tc>
        <w:tc>
          <w:tcPr>
            <w:tcW w:w="4230" w:type="dxa"/>
            <w:vAlign w:val="center"/>
          </w:tcPr>
          <w:p w14:paraId="7115444B" w14:textId="77777777" w:rsidR="00320800" w:rsidRPr="008F178B" w:rsidRDefault="00320800" w:rsidP="002B7344">
            <w:pPr>
              <w:spacing w:after="120" w:line="240" w:lineRule="auto"/>
              <w:rPr>
                <w:rFonts w:ascii="Times New Roman" w:hAnsi="Times New Roman"/>
                <w:sz w:val="20"/>
                <w:szCs w:val="20"/>
              </w:rPr>
            </w:pPr>
            <w:r>
              <w:rPr>
                <w:rFonts w:ascii="Times New Roman" w:hAnsi="Times New Roman"/>
                <w:sz w:val="20"/>
                <w:szCs w:val="20"/>
              </w:rPr>
              <w:t xml:space="preserve">By and large, I have accepted that the proximity to the conflict can be operationalized in terms of 1,000 km fully in (n=0.05) value corresponding to the range of a </w:t>
            </w:r>
            <w:r w:rsidRPr="008F178B">
              <w:rPr>
                <w:rFonts w:ascii="Times New Roman" w:hAnsi="Times New Roman"/>
                <w:sz w:val="20"/>
                <w:szCs w:val="20"/>
              </w:rPr>
              <w:t>Short-Range Ballistic Missiles (BMs)</w:t>
            </w:r>
            <w:r>
              <w:rPr>
                <w:rFonts w:ascii="Times New Roman" w:hAnsi="Times New Roman"/>
                <w:sz w:val="20"/>
                <w:szCs w:val="20"/>
              </w:rPr>
              <w:t>, while the 3,000 km fully out value (n=0.95) corresponds to Medium Range BMs. The crossover point (0.5=1.5) is in the middle. There is only one national capital located under 1,000 km from the conflict area (Bucharest) and two over 3,000 km from it (Madrid and Lisbon).</w:t>
            </w:r>
          </w:p>
        </w:tc>
      </w:tr>
      <w:tr w:rsidR="00320800" w:rsidRPr="005C48D0" w14:paraId="205CF19A" w14:textId="77777777" w:rsidTr="002B7344">
        <w:trPr>
          <w:trHeight w:val="1017"/>
        </w:trPr>
        <w:tc>
          <w:tcPr>
            <w:tcW w:w="1440" w:type="dxa"/>
            <w:vAlign w:val="center"/>
          </w:tcPr>
          <w:p w14:paraId="450BB8A9" w14:textId="77777777" w:rsidR="00320800" w:rsidRPr="00AC4E8F" w:rsidRDefault="00320800" w:rsidP="002B7344">
            <w:pPr>
              <w:spacing w:after="0" w:line="240" w:lineRule="auto"/>
              <w:jc w:val="center"/>
              <w:rPr>
                <w:rFonts w:ascii="Times New Roman" w:hAnsi="Times New Roman"/>
                <w:b/>
                <w:bCs/>
                <w:sz w:val="20"/>
                <w:szCs w:val="20"/>
              </w:rPr>
            </w:pPr>
            <w:r w:rsidRPr="000759A0">
              <w:rPr>
                <w:rFonts w:ascii="Times New Roman" w:hAnsi="Times New Roman"/>
                <w:b/>
                <w:bCs/>
                <w:sz w:val="20"/>
                <w:szCs w:val="20"/>
              </w:rPr>
              <w:t>Energy Independence from Russia (RENERGO</w:t>
            </w:r>
            <w:r>
              <w:rPr>
                <w:rFonts w:ascii="Times New Roman" w:hAnsi="Times New Roman"/>
                <w:b/>
                <w:bCs/>
                <w:sz w:val="20"/>
                <w:szCs w:val="20"/>
              </w:rPr>
              <w:t>)</w:t>
            </w:r>
          </w:p>
        </w:tc>
        <w:tc>
          <w:tcPr>
            <w:tcW w:w="4500" w:type="dxa"/>
            <w:vAlign w:val="center"/>
          </w:tcPr>
          <w:p w14:paraId="6DB7FB44" w14:textId="77777777" w:rsidR="00320800" w:rsidRPr="005C48D0" w:rsidRDefault="00320800" w:rsidP="002B7344">
            <w:pPr>
              <w:spacing w:after="0" w:line="240" w:lineRule="auto"/>
              <w:rPr>
                <w:rFonts w:ascii="Times New Roman" w:hAnsi="Times New Roman"/>
                <w:sz w:val="20"/>
                <w:szCs w:val="20"/>
              </w:rPr>
            </w:pPr>
            <w:r>
              <w:rPr>
                <w:rFonts w:ascii="Times New Roman" w:hAnsi="Times New Roman"/>
                <w:sz w:val="20"/>
                <w:szCs w:val="20"/>
              </w:rPr>
              <w:t xml:space="preserve">The last available data for Russia’s share in gross available energy for EU members is from 2020. The Energy Independence Index is constructed by calculating the sum of the dollar value (average prices for 2021) for </w:t>
            </w:r>
            <w:r w:rsidRPr="007316C0">
              <w:rPr>
                <w:rFonts w:ascii="Times New Roman" w:hAnsi="Times New Roman"/>
                <w:sz w:val="20"/>
                <w:szCs w:val="20"/>
              </w:rPr>
              <w:t>Russian imports</w:t>
            </w:r>
            <w:r>
              <w:rPr>
                <w:rFonts w:ascii="Times New Roman" w:hAnsi="Times New Roman"/>
                <w:sz w:val="20"/>
                <w:szCs w:val="20"/>
              </w:rPr>
              <w:t xml:space="preserve"> of </w:t>
            </w:r>
            <w:r w:rsidRPr="007316C0">
              <w:rPr>
                <w:rFonts w:ascii="Times New Roman" w:hAnsi="Times New Roman"/>
                <w:sz w:val="20"/>
                <w:szCs w:val="20"/>
              </w:rPr>
              <w:t xml:space="preserve">oil, natural gas and solid fossil fuels </w:t>
            </w:r>
            <w:r>
              <w:rPr>
                <w:rFonts w:ascii="Times New Roman" w:hAnsi="Times New Roman"/>
                <w:sz w:val="20"/>
                <w:szCs w:val="20"/>
              </w:rPr>
              <w:t xml:space="preserve">divided by the sum of dollar value (average prices for 2021) for all </w:t>
            </w:r>
            <w:r w:rsidRPr="007316C0">
              <w:rPr>
                <w:rFonts w:ascii="Times New Roman" w:hAnsi="Times New Roman"/>
                <w:sz w:val="20"/>
                <w:szCs w:val="20"/>
              </w:rPr>
              <w:t>imports</w:t>
            </w:r>
            <w:r>
              <w:rPr>
                <w:rFonts w:ascii="Times New Roman" w:hAnsi="Times New Roman"/>
                <w:sz w:val="20"/>
                <w:szCs w:val="20"/>
              </w:rPr>
              <w:t xml:space="preserve"> of </w:t>
            </w:r>
            <w:r w:rsidRPr="007316C0">
              <w:rPr>
                <w:rFonts w:ascii="Times New Roman" w:hAnsi="Times New Roman"/>
                <w:sz w:val="20"/>
                <w:szCs w:val="20"/>
              </w:rPr>
              <w:t>oil, natural gas and solid fossil fuels for each EU member</w:t>
            </w:r>
            <w:r>
              <w:rPr>
                <w:rFonts w:ascii="Times New Roman" w:hAnsi="Times New Roman"/>
                <w:sz w:val="20"/>
                <w:szCs w:val="20"/>
              </w:rPr>
              <w:t xml:space="preserve">. </w:t>
            </w:r>
          </w:p>
        </w:tc>
        <w:tc>
          <w:tcPr>
            <w:tcW w:w="4230" w:type="dxa"/>
            <w:vAlign w:val="center"/>
          </w:tcPr>
          <w:p w14:paraId="462F51AB" w14:textId="77777777" w:rsidR="00320800" w:rsidRPr="005C48D0" w:rsidRDefault="00320800" w:rsidP="002B7344">
            <w:pPr>
              <w:spacing w:after="120" w:line="240" w:lineRule="auto"/>
              <w:rPr>
                <w:rFonts w:ascii="Times New Roman" w:hAnsi="Times New Roman"/>
                <w:sz w:val="20"/>
                <w:szCs w:val="20"/>
              </w:rPr>
            </w:pPr>
            <w:r>
              <w:rPr>
                <w:rFonts w:ascii="Times New Roman" w:hAnsi="Times New Roman"/>
                <w:sz w:val="20"/>
                <w:szCs w:val="20"/>
              </w:rPr>
              <w:t xml:space="preserve">The calibration is based on the assumption that fully in cases (n=0.95) is 0.05, i.e. least energy independent EU members for 2021 with least than 5% of energy imports originating from Russia. The crossover point is 50% energy dependence (n-0.5) and the fully out (n=0.05) is 95%. In 2021, four EU members had less than 5% energy imports from Russia (Lx, Cy, Si, Mt) while </w:t>
            </w:r>
            <w:proofErr w:type="spellStart"/>
            <w:r>
              <w:rPr>
                <w:rFonts w:ascii="Times New Roman" w:hAnsi="Times New Roman"/>
                <w:sz w:val="20"/>
                <w:szCs w:val="20"/>
              </w:rPr>
              <w:t>Sk</w:t>
            </w:r>
            <w:proofErr w:type="spellEnd"/>
            <w:r>
              <w:rPr>
                <w:rFonts w:ascii="Times New Roman" w:hAnsi="Times New Roman"/>
                <w:sz w:val="20"/>
                <w:szCs w:val="20"/>
              </w:rPr>
              <w:t xml:space="preserve"> and Lt had the highest dependence at 655 and 74% respectively.</w:t>
            </w:r>
          </w:p>
        </w:tc>
      </w:tr>
      <w:tr w:rsidR="00320800" w:rsidRPr="005C48D0" w14:paraId="04114DEF" w14:textId="77777777" w:rsidTr="002B7344">
        <w:tc>
          <w:tcPr>
            <w:tcW w:w="1440" w:type="dxa"/>
            <w:tcBorders>
              <w:bottom w:val="single" w:sz="4" w:space="0" w:color="auto"/>
            </w:tcBorders>
            <w:vAlign w:val="center"/>
          </w:tcPr>
          <w:p w14:paraId="28AD6AAD" w14:textId="77777777" w:rsidR="00320800" w:rsidRPr="00AC4E8F" w:rsidRDefault="00320800" w:rsidP="002B7344">
            <w:pPr>
              <w:spacing w:after="0" w:line="240" w:lineRule="auto"/>
              <w:jc w:val="center"/>
              <w:rPr>
                <w:rFonts w:ascii="Times New Roman" w:hAnsi="Times New Roman"/>
                <w:b/>
                <w:bCs/>
                <w:sz w:val="20"/>
                <w:szCs w:val="20"/>
              </w:rPr>
            </w:pPr>
            <w:r>
              <w:rPr>
                <w:rFonts w:ascii="Times New Roman" w:hAnsi="Times New Roman"/>
                <w:b/>
                <w:bCs/>
                <w:sz w:val="20"/>
                <w:szCs w:val="20"/>
              </w:rPr>
              <w:t>Dist</w:t>
            </w:r>
            <w:r w:rsidRPr="000759A0">
              <w:rPr>
                <w:rFonts w:ascii="Times New Roman" w:hAnsi="Times New Roman"/>
                <w:b/>
                <w:bCs/>
                <w:sz w:val="20"/>
                <w:szCs w:val="20"/>
              </w:rPr>
              <w:t xml:space="preserve">rust in </w:t>
            </w:r>
            <w:proofErr w:type="gramStart"/>
            <w:r w:rsidRPr="000759A0">
              <w:rPr>
                <w:rFonts w:ascii="Times New Roman" w:hAnsi="Times New Roman"/>
                <w:b/>
                <w:bCs/>
                <w:sz w:val="20"/>
                <w:szCs w:val="20"/>
              </w:rPr>
              <w:t>Social Media</w:t>
            </w:r>
            <w:proofErr w:type="gramEnd"/>
            <w:r w:rsidRPr="000759A0">
              <w:rPr>
                <w:rFonts w:ascii="Times New Roman" w:hAnsi="Times New Roman"/>
                <w:b/>
                <w:bCs/>
                <w:sz w:val="20"/>
                <w:szCs w:val="20"/>
              </w:rPr>
              <w:t xml:space="preserve"> (RTRUST)</w:t>
            </w:r>
          </w:p>
        </w:tc>
        <w:tc>
          <w:tcPr>
            <w:tcW w:w="4500" w:type="dxa"/>
            <w:tcBorders>
              <w:bottom w:val="single" w:sz="4" w:space="0" w:color="auto"/>
            </w:tcBorders>
            <w:vAlign w:val="center"/>
          </w:tcPr>
          <w:p w14:paraId="1FE23E80" w14:textId="77777777" w:rsidR="00320800" w:rsidRPr="005C48D0" w:rsidRDefault="00320800" w:rsidP="002B7344">
            <w:pPr>
              <w:spacing w:after="0" w:line="240" w:lineRule="auto"/>
              <w:rPr>
                <w:rFonts w:ascii="Times New Roman" w:hAnsi="Times New Roman"/>
                <w:sz w:val="20"/>
                <w:szCs w:val="20"/>
              </w:rPr>
            </w:pPr>
            <w:r>
              <w:rPr>
                <w:rFonts w:ascii="Times New Roman" w:hAnsi="Times New Roman"/>
                <w:sz w:val="20"/>
                <w:szCs w:val="20"/>
              </w:rPr>
              <w:t>T</w:t>
            </w:r>
            <w:r w:rsidRPr="002A15FF">
              <w:rPr>
                <w:rFonts w:ascii="Times New Roman" w:hAnsi="Times New Roman"/>
                <w:sz w:val="20"/>
                <w:szCs w:val="20"/>
              </w:rPr>
              <w:t xml:space="preserve">rust in social media is calculated as a difference between those who partially and fully </w:t>
            </w:r>
            <w:r>
              <w:rPr>
                <w:rFonts w:ascii="Times New Roman" w:hAnsi="Times New Roman"/>
                <w:sz w:val="20"/>
                <w:szCs w:val="20"/>
              </w:rPr>
              <w:t xml:space="preserve">agree that </w:t>
            </w:r>
            <w:r w:rsidRPr="002A15FF">
              <w:rPr>
                <w:rFonts w:ascii="Times New Roman" w:hAnsi="Times New Roman"/>
                <w:sz w:val="20"/>
                <w:szCs w:val="20"/>
              </w:rPr>
              <w:t>they trust social media</w:t>
            </w:r>
            <w:r>
              <w:rPr>
                <w:rFonts w:ascii="Times New Roman" w:hAnsi="Times New Roman"/>
                <w:sz w:val="20"/>
                <w:szCs w:val="20"/>
              </w:rPr>
              <w:t xml:space="preserve"> and those who </w:t>
            </w:r>
            <w:r w:rsidRPr="002A15FF">
              <w:rPr>
                <w:rFonts w:ascii="Times New Roman" w:hAnsi="Times New Roman"/>
                <w:sz w:val="20"/>
                <w:szCs w:val="20"/>
              </w:rPr>
              <w:t>partially and fully disagree</w:t>
            </w:r>
            <w:r>
              <w:rPr>
                <w:rFonts w:ascii="Times New Roman" w:hAnsi="Times New Roman"/>
                <w:sz w:val="20"/>
                <w:szCs w:val="20"/>
              </w:rPr>
              <w:t xml:space="preserve"> based on data from Flash Eurobarometer 405 (Spring 2022) about how much citizens of EU members trust social media.</w:t>
            </w:r>
          </w:p>
        </w:tc>
        <w:tc>
          <w:tcPr>
            <w:tcW w:w="4230" w:type="dxa"/>
            <w:tcBorders>
              <w:bottom w:val="single" w:sz="4" w:space="0" w:color="auto"/>
            </w:tcBorders>
            <w:vAlign w:val="center"/>
          </w:tcPr>
          <w:p w14:paraId="45846B33" w14:textId="77777777" w:rsidR="00320800" w:rsidRPr="005C48D0" w:rsidRDefault="00320800" w:rsidP="002B7344">
            <w:pPr>
              <w:spacing w:after="120" w:line="240" w:lineRule="auto"/>
              <w:rPr>
                <w:rFonts w:ascii="Times New Roman" w:hAnsi="Times New Roman"/>
                <w:sz w:val="20"/>
                <w:szCs w:val="20"/>
              </w:rPr>
            </w:pPr>
            <w:r>
              <w:rPr>
                <w:rFonts w:ascii="Times New Roman" w:hAnsi="Times New Roman"/>
                <w:sz w:val="20"/>
                <w:szCs w:val="20"/>
              </w:rPr>
              <w:t>Calibration is based on the expectation that most EU citizens should distrust social media (only Lt and Pl) have positive scores where more than half of the people trust social media), with crossover point at 0.5=-30 (i.e., 2/3 of the citizens distrust social media) and fully in (0.95=-50) when ¾ of the EU citizens distrust social media.</w:t>
            </w:r>
          </w:p>
        </w:tc>
      </w:tr>
    </w:tbl>
    <w:p w14:paraId="26E78B77" w14:textId="77777777" w:rsidR="00320800" w:rsidRPr="002E6C80" w:rsidRDefault="00320800" w:rsidP="00B42218">
      <w:pPr>
        <w:rPr>
          <w:rFonts w:ascii="Times New Roman" w:hAnsi="Times New Roman"/>
          <w:sz w:val="24"/>
          <w:szCs w:val="24"/>
        </w:rPr>
      </w:pPr>
    </w:p>
    <w:p w14:paraId="431AC0AE" w14:textId="77777777" w:rsidR="009E7ED8" w:rsidRPr="00B42218" w:rsidRDefault="009E7ED8">
      <w:pPr>
        <w:rPr>
          <w:rFonts w:ascii="Times New Roman" w:hAnsi="Times New Roman"/>
          <w:sz w:val="24"/>
          <w:szCs w:val="24"/>
        </w:rPr>
      </w:pPr>
    </w:p>
    <w:p w14:paraId="03947EC6" w14:textId="4D19B60B" w:rsidR="0033489D" w:rsidRDefault="0033489D">
      <w:pPr>
        <w:spacing w:after="160" w:line="278" w:lineRule="auto"/>
        <w:rPr>
          <w:rFonts w:ascii="Times New Roman" w:hAnsi="Times New Roman"/>
          <w:sz w:val="24"/>
          <w:szCs w:val="24"/>
        </w:rPr>
      </w:pPr>
      <w:r>
        <w:rPr>
          <w:rFonts w:ascii="Times New Roman" w:hAnsi="Times New Roman"/>
          <w:sz w:val="24"/>
          <w:szCs w:val="24"/>
        </w:rPr>
        <w:br w:type="page"/>
      </w:r>
    </w:p>
    <w:p w14:paraId="72D031D7" w14:textId="64493E58" w:rsidR="0033489D" w:rsidRPr="00806691" w:rsidRDefault="0033489D" w:rsidP="0033489D">
      <w:pPr>
        <w:rPr>
          <w:rFonts w:ascii="Times New Roman" w:hAnsi="Times New Roman"/>
          <w:i/>
          <w:iCs/>
          <w:sz w:val="24"/>
          <w:szCs w:val="24"/>
        </w:rPr>
      </w:pPr>
      <w:r w:rsidRPr="00806691">
        <w:rPr>
          <w:rFonts w:ascii="Times New Roman" w:hAnsi="Times New Roman"/>
          <w:i/>
          <w:iCs/>
          <w:sz w:val="24"/>
          <w:szCs w:val="24"/>
        </w:rPr>
        <w:lastRenderedPageBreak/>
        <w:t>Conditions and Outcome: Measurement and Calibration</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1800"/>
        <w:gridCol w:w="2610"/>
        <w:gridCol w:w="1260"/>
        <w:gridCol w:w="1440"/>
        <w:gridCol w:w="1170"/>
      </w:tblGrid>
      <w:tr w:rsidR="0033489D" w:rsidRPr="00B42218" w14:paraId="4A8658C1" w14:textId="77777777" w:rsidTr="002B7344">
        <w:trPr>
          <w:trHeight w:val="314"/>
        </w:trPr>
        <w:tc>
          <w:tcPr>
            <w:tcW w:w="1080" w:type="dxa"/>
            <w:vMerge w:val="restart"/>
            <w:tcBorders>
              <w:top w:val="single" w:sz="4" w:space="0" w:color="auto"/>
            </w:tcBorders>
            <w:vAlign w:val="center"/>
          </w:tcPr>
          <w:p w14:paraId="381502FC"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Type</w:t>
            </w:r>
          </w:p>
        </w:tc>
        <w:tc>
          <w:tcPr>
            <w:tcW w:w="1800" w:type="dxa"/>
            <w:vMerge w:val="restart"/>
            <w:tcBorders>
              <w:top w:val="single" w:sz="4" w:space="0" w:color="auto"/>
            </w:tcBorders>
            <w:vAlign w:val="center"/>
          </w:tcPr>
          <w:p w14:paraId="19205D62"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Set</w:t>
            </w:r>
          </w:p>
        </w:tc>
        <w:tc>
          <w:tcPr>
            <w:tcW w:w="2610" w:type="dxa"/>
            <w:vMerge w:val="restart"/>
            <w:tcBorders>
              <w:top w:val="single" w:sz="4" w:space="0" w:color="auto"/>
            </w:tcBorders>
            <w:vAlign w:val="center"/>
          </w:tcPr>
          <w:p w14:paraId="09AB384B"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Measurement</w:t>
            </w:r>
          </w:p>
        </w:tc>
        <w:tc>
          <w:tcPr>
            <w:tcW w:w="3870" w:type="dxa"/>
            <w:gridSpan w:val="3"/>
            <w:tcBorders>
              <w:top w:val="single" w:sz="4" w:space="0" w:color="auto"/>
            </w:tcBorders>
            <w:vAlign w:val="center"/>
          </w:tcPr>
          <w:p w14:paraId="089B57DC"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Calibration (set membership)</w:t>
            </w:r>
          </w:p>
        </w:tc>
      </w:tr>
      <w:tr w:rsidR="0033489D" w:rsidRPr="00B42218" w14:paraId="27713112" w14:textId="77777777" w:rsidTr="002B7344">
        <w:trPr>
          <w:trHeight w:val="539"/>
        </w:trPr>
        <w:tc>
          <w:tcPr>
            <w:tcW w:w="1080" w:type="dxa"/>
            <w:vMerge/>
            <w:tcBorders>
              <w:bottom w:val="single" w:sz="4" w:space="0" w:color="auto"/>
            </w:tcBorders>
            <w:vAlign w:val="center"/>
          </w:tcPr>
          <w:p w14:paraId="1F07C90B" w14:textId="77777777" w:rsidR="0033489D" w:rsidRPr="00B42218" w:rsidRDefault="0033489D" w:rsidP="00B42218">
            <w:pPr>
              <w:spacing w:line="240" w:lineRule="auto"/>
              <w:jc w:val="center"/>
              <w:rPr>
                <w:rFonts w:ascii="Times New Roman" w:hAnsi="Times New Roman"/>
                <w:sz w:val="20"/>
                <w:szCs w:val="20"/>
              </w:rPr>
            </w:pPr>
          </w:p>
        </w:tc>
        <w:tc>
          <w:tcPr>
            <w:tcW w:w="1800" w:type="dxa"/>
            <w:vMerge/>
            <w:tcBorders>
              <w:bottom w:val="single" w:sz="4" w:space="0" w:color="auto"/>
            </w:tcBorders>
            <w:vAlign w:val="center"/>
          </w:tcPr>
          <w:p w14:paraId="08B8782D" w14:textId="77777777" w:rsidR="0033489D" w:rsidRPr="00B42218" w:rsidRDefault="0033489D" w:rsidP="00B42218">
            <w:pPr>
              <w:spacing w:line="240" w:lineRule="auto"/>
              <w:jc w:val="center"/>
              <w:rPr>
                <w:rFonts w:ascii="Times New Roman" w:hAnsi="Times New Roman"/>
                <w:sz w:val="20"/>
                <w:szCs w:val="20"/>
              </w:rPr>
            </w:pPr>
          </w:p>
        </w:tc>
        <w:tc>
          <w:tcPr>
            <w:tcW w:w="2610" w:type="dxa"/>
            <w:vMerge/>
            <w:tcBorders>
              <w:bottom w:val="single" w:sz="4" w:space="0" w:color="auto"/>
            </w:tcBorders>
            <w:vAlign w:val="center"/>
          </w:tcPr>
          <w:p w14:paraId="27E70D46" w14:textId="77777777" w:rsidR="0033489D" w:rsidRPr="00B42218" w:rsidRDefault="0033489D" w:rsidP="00B42218">
            <w:pPr>
              <w:spacing w:line="240" w:lineRule="auto"/>
              <w:jc w:val="center"/>
              <w:rPr>
                <w:rFonts w:ascii="Times New Roman" w:hAnsi="Times New Roman"/>
                <w:sz w:val="20"/>
                <w:szCs w:val="20"/>
              </w:rPr>
            </w:pPr>
          </w:p>
        </w:tc>
        <w:tc>
          <w:tcPr>
            <w:tcW w:w="1260" w:type="dxa"/>
            <w:tcBorders>
              <w:bottom w:val="single" w:sz="4" w:space="0" w:color="auto"/>
            </w:tcBorders>
            <w:vAlign w:val="center"/>
          </w:tcPr>
          <w:p w14:paraId="65F4EF60"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Fully out</w:t>
            </w:r>
          </w:p>
          <w:p w14:paraId="00901184"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0.05</w:t>
            </w:r>
          </w:p>
        </w:tc>
        <w:tc>
          <w:tcPr>
            <w:tcW w:w="1440" w:type="dxa"/>
            <w:tcBorders>
              <w:bottom w:val="single" w:sz="4" w:space="0" w:color="auto"/>
            </w:tcBorders>
            <w:vAlign w:val="center"/>
          </w:tcPr>
          <w:p w14:paraId="31FCAE0D"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Neither in nor out 0.5</w:t>
            </w:r>
          </w:p>
        </w:tc>
        <w:tc>
          <w:tcPr>
            <w:tcW w:w="1170" w:type="dxa"/>
            <w:tcBorders>
              <w:bottom w:val="single" w:sz="4" w:space="0" w:color="auto"/>
            </w:tcBorders>
            <w:vAlign w:val="center"/>
          </w:tcPr>
          <w:p w14:paraId="45ADEBEF"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Fully in</w:t>
            </w:r>
          </w:p>
          <w:p w14:paraId="3C41128B"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0.95</w:t>
            </w:r>
          </w:p>
        </w:tc>
      </w:tr>
      <w:tr w:rsidR="0033489D" w:rsidRPr="00B42218" w14:paraId="06ABD0EC" w14:textId="77777777" w:rsidTr="002B7344">
        <w:trPr>
          <w:trHeight w:val="854"/>
        </w:trPr>
        <w:tc>
          <w:tcPr>
            <w:tcW w:w="1080" w:type="dxa"/>
            <w:tcBorders>
              <w:top w:val="single" w:sz="4" w:space="0" w:color="auto"/>
              <w:bottom w:val="single" w:sz="4" w:space="0" w:color="auto"/>
            </w:tcBorders>
            <w:vAlign w:val="center"/>
          </w:tcPr>
          <w:p w14:paraId="3C743976"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Outcome</w:t>
            </w:r>
          </w:p>
        </w:tc>
        <w:tc>
          <w:tcPr>
            <w:tcW w:w="1800" w:type="dxa"/>
            <w:tcBorders>
              <w:top w:val="single" w:sz="4" w:space="0" w:color="auto"/>
              <w:bottom w:val="single" w:sz="4" w:space="0" w:color="auto"/>
            </w:tcBorders>
            <w:vAlign w:val="center"/>
          </w:tcPr>
          <w:p w14:paraId="51CD2701"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 xml:space="preserve">Average Change in Support for </w:t>
            </w:r>
            <w:proofErr w:type="spellStart"/>
            <w:r w:rsidRPr="00B42218">
              <w:rPr>
                <w:rFonts w:ascii="Times New Roman" w:hAnsi="Times New Roman"/>
                <w:sz w:val="20"/>
                <w:szCs w:val="20"/>
              </w:rPr>
              <w:t>Ukr</w:t>
            </w:r>
            <w:proofErr w:type="spellEnd"/>
            <w:r w:rsidRPr="00B42218">
              <w:rPr>
                <w:rFonts w:ascii="Times New Roman" w:hAnsi="Times New Roman"/>
                <w:sz w:val="20"/>
                <w:szCs w:val="20"/>
              </w:rPr>
              <w:t xml:space="preserve"> (AVCHNG)</w:t>
            </w:r>
          </w:p>
        </w:tc>
        <w:tc>
          <w:tcPr>
            <w:tcW w:w="2610" w:type="dxa"/>
            <w:tcBorders>
              <w:top w:val="single" w:sz="4" w:space="0" w:color="auto"/>
              <w:bottom w:val="single" w:sz="4" w:space="0" w:color="auto"/>
            </w:tcBorders>
            <w:vAlign w:val="center"/>
          </w:tcPr>
          <w:p w14:paraId="465E219D" w14:textId="77777777" w:rsidR="0033489D" w:rsidRPr="00B42218" w:rsidRDefault="0033489D" w:rsidP="00B42218">
            <w:pPr>
              <w:spacing w:after="120" w:line="240" w:lineRule="auto"/>
              <w:jc w:val="center"/>
              <w:rPr>
                <w:rFonts w:ascii="Times New Roman" w:hAnsi="Times New Roman"/>
                <w:sz w:val="20"/>
                <w:szCs w:val="20"/>
              </w:rPr>
            </w:pPr>
            <w:r w:rsidRPr="00B42218">
              <w:rPr>
                <w:rFonts w:ascii="Times New Roman" w:hAnsi="Times New Roman"/>
                <w:sz w:val="20"/>
                <w:szCs w:val="20"/>
              </w:rPr>
              <w:t xml:space="preserve">Average change in net approval of mil, fin, hum and refugee support for </w:t>
            </w:r>
            <w:proofErr w:type="spellStart"/>
            <w:r w:rsidRPr="00B42218">
              <w:rPr>
                <w:rFonts w:ascii="Times New Roman" w:hAnsi="Times New Roman"/>
                <w:sz w:val="20"/>
                <w:szCs w:val="20"/>
              </w:rPr>
              <w:t>Ukr</w:t>
            </w:r>
            <w:proofErr w:type="spellEnd"/>
            <w:r w:rsidRPr="00B42218">
              <w:rPr>
                <w:rFonts w:ascii="Times New Roman" w:hAnsi="Times New Roman"/>
                <w:sz w:val="20"/>
                <w:szCs w:val="20"/>
              </w:rPr>
              <w:t>, 2022-25.</w:t>
            </w:r>
          </w:p>
        </w:tc>
        <w:tc>
          <w:tcPr>
            <w:tcW w:w="1260" w:type="dxa"/>
            <w:tcBorders>
              <w:top w:val="single" w:sz="4" w:space="0" w:color="auto"/>
              <w:bottom w:val="single" w:sz="4" w:space="0" w:color="auto"/>
            </w:tcBorders>
            <w:vAlign w:val="center"/>
          </w:tcPr>
          <w:p w14:paraId="243C4C1E"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0</w:t>
            </w:r>
          </w:p>
        </w:tc>
        <w:tc>
          <w:tcPr>
            <w:tcW w:w="1440" w:type="dxa"/>
            <w:tcBorders>
              <w:top w:val="single" w:sz="4" w:space="0" w:color="auto"/>
              <w:bottom w:val="single" w:sz="4" w:space="0" w:color="auto"/>
            </w:tcBorders>
            <w:vAlign w:val="center"/>
          </w:tcPr>
          <w:p w14:paraId="3840EAB3"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-10</w:t>
            </w:r>
          </w:p>
        </w:tc>
        <w:tc>
          <w:tcPr>
            <w:tcW w:w="1170" w:type="dxa"/>
            <w:tcBorders>
              <w:top w:val="single" w:sz="4" w:space="0" w:color="auto"/>
              <w:bottom w:val="single" w:sz="4" w:space="0" w:color="auto"/>
            </w:tcBorders>
            <w:vAlign w:val="center"/>
          </w:tcPr>
          <w:p w14:paraId="2D7899AA"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-30</w:t>
            </w:r>
          </w:p>
        </w:tc>
      </w:tr>
      <w:tr w:rsidR="0033489D" w:rsidRPr="00B42218" w14:paraId="18F80542" w14:textId="77777777" w:rsidTr="002B7344">
        <w:tc>
          <w:tcPr>
            <w:tcW w:w="1080" w:type="dxa"/>
            <w:vMerge w:val="restart"/>
            <w:tcBorders>
              <w:top w:val="single" w:sz="4" w:space="0" w:color="auto"/>
            </w:tcBorders>
            <w:vAlign w:val="center"/>
          </w:tcPr>
          <w:p w14:paraId="087AB020" w14:textId="77777777" w:rsidR="0033489D" w:rsidRPr="00B42218" w:rsidRDefault="0033489D" w:rsidP="00B42218">
            <w:pPr>
              <w:spacing w:line="240" w:lineRule="auto"/>
              <w:jc w:val="center"/>
              <w:rPr>
                <w:rFonts w:ascii="Times New Roman" w:hAnsi="Times New Roman"/>
                <w:b/>
                <w:bCs/>
                <w:sz w:val="20"/>
                <w:szCs w:val="20"/>
              </w:rPr>
            </w:pPr>
          </w:p>
        </w:tc>
        <w:tc>
          <w:tcPr>
            <w:tcW w:w="1800" w:type="dxa"/>
            <w:tcBorders>
              <w:top w:val="single" w:sz="4" w:space="0" w:color="auto"/>
            </w:tcBorders>
            <w:vAlign w:val="center"/>
          </w:tcPr>
          <w:p w14:paraId="65C36C8D"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Economic Growth (GROWT)</w:t>
            </w:r>
          </w:p>
        </w:tc>
        <w:tc>
          <w:tcPr>
            <w:tcW w:w="2610" w:type="dxa"/>
            <w:tcBorders>
              <w:top w:val="single" w:sz="4" w:space="0" w:color="auto"/>
            </w:tcBorders>
            <w:vAlign w:val="center"/>
          </w:tcPr>
          <w:p w14:paraId="15284E84" w14:textId="77777777" w:rsidR="0033489D" w:rsidRPr="00B42218" w:rsidRDefault="0033489D" w:rsidP="00B42218">
            <w:pPr>
              <w:spacing w:after="120" w:line="240" w:lineRule="auto"/>
              <w:jc w:val="center"/>
              <w:rPr>
                <w:rFonts w:ascii="Times New Roman" w:hAnsi="Times New Roman"/>
                <w:sz w:val="20"/>
                <w:szCs w:val="20"/>
              </w:rPr>
            </w:pPr>
            <w:r w:rsidRPr="00B42218">
              <w:rPr>
                <w:rFonts w:ascii="Times New Roman" w:hAnsi="Times New Roman"/>
                <w:sz w:val="20"/>
                <w:szCs w:val="20"/>
              </w:rPr>
              <w:t>GDP growth rates based on IMF and Eurostat predictions. EU stimulus factored in.</w:t>
            </w:r>
          </w:p>
        </w:tc>
        <w:tc>
          <w:tcPr>
            <w:tcW w:w="1260" w:type="dxa"/>
            <w:tcBorders>
              <w:top w:val="single" w:sz="4" w:space="0" w:color="auto"/>
            </w:tcBorders>
            <w:vAlign w:val="center"/>
          </w:tcPr>
          <w:p w14:paraId="4658EA01"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1</w:t>
            </w:r>
          </w:p>
        </w:tc>
        <w:tc>
          <w:tcPr>
            <w:tcW w:w="1440" w:type="dxa"/>
            <w:tcBorders>
              <w:top w:val="single" w:sz="4" w:space="0" w:color="auto"/>
            </w:tcBorders>
            <w:vAlign w:val="center"/>
          </w:tcPr>
          <w:p w14:paraId="5C161036"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3.5</w:t>
            </w:r>
          </w:p>
        </w:tc>
        <w:tc>
          <w:tcPr>
            <w:tcW w:w="1170" w:type="dxa"/>
            <w:tcBorders>
              <w:top w:val="single" w:sz="4" w:space="0" w:color="auto"/>
            </w:tcBorders>
            <w:vAlign w:val="center"/>
          </w:tcPr>
          <w:p w14:paraId="5578DE61"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7</w:t>
            </w:r>
          </w:p>
        </w:tc>
      </w:tr>
      <w:tr w:rsidR="0033489D" w:rsidRPr="00B42218" w14:paraId="483853B5" w14:textId="77777777" w:rsidTr="002B7344">
        <w:trPr>
          <w:trHeight w:val="603"/>
        </w:trPr>
        <w:tc>
          <w:tcPr>
            <w:tcW w:w="1080" w:type="dxa"/>
            <w:vMerge/>
            <w:vAlign w:val="center"/>
          </w:tcPr>
          <w:p w14:paraId="7DEE7C88" w14:textId="77777777" w:rsidR="0033489D" w:rsidRPr="00B42218" w:rsidRDefault="0033489D" w:rsidP="00B42218">
            <w:pPr>
              <w:spacing w:line="240" w:lineRule="auto"/>
              <w:jc w:val="center"/>
              <w:rPr>
                <w:rFonts w:ascii="Times New Roman" w:hAnsi="Times New Roman"/>
                <w:sz w:val="20"/>
                <w:szCs w:val="20"/>
              </w:rPr>
            </w:pPr>
          </w:p>
        </w:tc>
        <w:tc>
          <w:tcPr>
            <w:tcW w:w="1800" w:type="dxa"/>
            <w:vAlign w:val="center"/>
          </w:tcPr>
          <w:p w14:paraId="412C5927"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Democratic Rule (DEMOCR)</w:t>
            </w:r>
          </w:p>
        </w:tc>
        <w:tc>
          <w:tcPr>
            <w:tcW w:w="2610" w:type="dxa"/>
            <w:vAlign w:val="center"/>
          </w:tcPr>
          <w:p w14:paraId="5D650ECC" w14:textId="77777777" w:rsidR="0033489D" w:rsidRPr="00B42218" w:rsidRDefault="0033489D" w:rsidP="00B42218">
            <w:pPr>
              <w:spacing w:after="120" w:line="240" w:lineRule="auto"/>
              <w:jc w:val="center"/>
              <w:rPr>
                <w:rFonts w:ascii="Times New Roman" w:hAnsi="Times New Roman"/>
                <w:sz w:val="20"/>
                <w:szCs w:val="20"/>
              </w:rPr>
            </w:pPr>
            <w:r w:rsidRPr="00B42218">
              <w:rPr>
                <w:rFonts w:ascii="Times New Roman" w:hAnsi="Times New Roman"/>
                <w:sz w:val="20"/>
                <w:szCs w:val="20"/>
              </w:rPr>
              <w:t>Distinction between flawed vs. full democracies factored in.</w:t>
            </w:r>
          </w:p>
        </w:tc>
        <w:tc>
          <w:tcPr>
            <w:tcW w:w="1260" w:type="dxa"/>
            <w:vAlign w:val="center"/>
          </w:tcPr>
          <w:p w14:paraId="08F59BF4"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6</w:t>
            </w:r>
          </w:p>
        </w:tc>
        <w:tc>
          <w:tcPr>
            <w:tcW w:w="1440" w:type="dxa"/>
            <w:vAlign w:val="center"/>
          </w:tcPr>
          <w:p w14:paraId="516C8C13"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8</w:t>
            </w:r>
          </w:p>
        </w:tc>
        <w:tc>
          <w:tcPr>
            <w:tcW w:w="1170" w:type="dxa"/>
            <w:vAlign w:val="center"/>
          </w:tcPr>
          <w:p w14:paraId="4C4683BA"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9</w:t>
            </w:r>
          </w:p>
        </w:tc>
      </w:tr>
      <w:tr w:rsidR="0033489D" w:rsidRPr="00B42218" w14:paraId="17063DCE" w14:textId="77777777" w:rsidTr="002B7344">
        <w:trPr>
          <w:trHeight w:val="450"/>
        </w:trPr>
        <w:tc>
          <w:tcPr>
            <w:tcW w:w="1080" w:type="dxa"/>
            <w:vAlign w:val="center"/>
          </w:tcPr>
          <w:p w14:paraId="33F01821" w14:textId="77777777" w:rsidR="0033489D" w:rsidRPr="00B42218" w:rsidRDefault="0033489D" w:rsidP="00B42218">
            <w:pPr>
              <w:spacing w:line="240" w:lineRule="auto"/>
              <w:jc w:val="center"/>
              <w:rPr>
                <w:rFonts w:ascii="Times New Roman" w:hAnsi="Times New Roman"/>
                <w:b/>
                <w:bCs/>
                <w:sz w:val="20"/>
                <w:szCs w:val="20"/>
              </w:rPr>
            </w:pPr>
            <w:r w:rsidRPr="00B42218">
              <w:rPr>
                <w:rFonts w:ascii="Times New Roman" w:hAnsi="Times New Roman"/>
                <w:b/>
                <w:bCs/>
                <w:sz w:val="20"/>
                <w:szCs w:val="20"/>
              </w:rPr>
              <w:t>Condit-ions</w:t>
            </w:r>
          </w:p>
        </w:tc>
        <w:tc>
          <w:tcPr>
            <w:tcW w:w="1800" w:type="dxa"/>
            <w:vAlign w:val="center"/>
          </w:tcPr>
          <w:p w14:paraId="1CDA6782"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Distance from conflict (DISTAN)</w:t>
            </w:r>
          </w:p>
        </w:tc>
        <w:tc>
          <w:tcPr>
            <w:tcW w:w="2610" w:type="dxa"/>
            <w:vAlign w:val="center"/>
          </w:tcPr>
          <w:p w14:paraId="01C19E94" w14:textId="77777777" w:rsidR="0033489D" w:rsidRPr="00B42218" w:rsidRDefault="0033489D" w:rsidP="00B42218">
            <w:pPr>
              <w:spacing w:after="120" w:line="240" w:lineRule="auto"/>
              <w:jc w:val="center"/>
              <w:rPr>
                <w:rFonts w:ascii="Times New Roman" w:hAnsi="Times New Roman"/>
                <w:sz w:val="20"/>
                <w:szCs w:val="20"/>
              </w:rPr>
            </w:pPr>
            <w:r w:rsidRPr="00B42218">
              <w:rPr>
                <w:rFonts w:ascii="Times New Roman" w:hAnsi="Times New Roman"/>
                <w:sz w:val="20"/>
                <w:szCs w:val="20"/>
              </w:rPr>
              <w:t>An average distance of 1.5 thousand km assumed as an anchor point.</w:t>
            </w:r>
          </w:p>
        </w:tc>
        <w:tc>
          <w:tcPr>
            <w:tcW w:w="1260" w:type="dxa"/>
            <w:vAlign w:val="center"/>
          </w:tcPr>
          <w:p w14:paraId="7BED37A7"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1</w:t>
            </w:r>
          </w:p>
        </w:tc>
        <w:tc>
          <w:tcPr>
            <w:tcW w:w="1440" w:type="dxa"/>
            <w:vAlign w:val="center"/>
          </w:tcPr>
          <w:p w14:paraId="567D0219"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1.5</w:t>
            </w:r>
          </w:p>
        </w:tc>
        <w:tc>
          <w:tcPr>
            <w:tcW w:w="1170" w:type="dxa"/>
            <w:vAlign w:val="center"/>
          </w:tcPr>
          <w:p w14:paraId="14C65060"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3</w:t>
            </w:r>
          </w:p>
        </w:tc>
      </w:tr>
      <w:tr w:rsidR="0033489D" w:rsidRPr="00B42218" w14:paraId="007185B9" w14:textId="77777777" w:rsidTr="002B7344">
        <w:trPr>
          <w:trHeight w:val="819"/>
        </w:trPr>
        <w:tc>
          <w:tcPr>
            <w:tcW w:w="1080" w:type="dxa"/>
            <w:vAlign w:val="center"/>
          </w:tcPr>
          <w:p w14:paraId="657DD3E3" w14:textId="77777777" w:rsidR="0033489D" w:rsidRPr="00B42218" w:rsidRDefault="0033489D" w:rsidP="00B42218">
            <w:pPr>
              <w:spacing w:line="240" w:lineRule="auto"/>
              <w:jc w:val="center"/>
              <w:rPr>
                <w:rFonts w:ascii="Times New Roman" w:hAnsi="Times New Roman"/>
                <w:b/>
                <w:bCs/>
                <w:sz w:val="20"/>
                <w:szCs w:val="20"/>
              </w:rPr>
            </w:pPr>
          </w:p>
        </w:tc>
        <w:tc>
          <w:tcPr>
            <w:tcW w:w="1800" w:type="dxa"/>
            <w:vAlign w:val="center"/>
          </w:tcPr>
          <w:p w14:paraId="27369351"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Energy Independence from Russia (RENERGO)</w:t>
            </w:r>
          </w:p>
        </w:tc>
        <w:tc>
          <w:tcPr>
            <w:tcW w:w="2610" w:type="dxa"/>
            <w:vAlign w:val="center"/>
          </w:tcPr>
          <w:p w14:paraId="73BE5AD2" w14:textId="77777777" w:rsidR="0033489D" w:rsidRPr="00B42218" w:rsidRDefault="0033489D" w:rsidP="00B42218">
            <w:pPr>
              <w:spacing w:after="120" w:line="240" w:lineRule="auto"/>
              <w:jc w:val="center"/>
              <w:rPr>
                <w:rFonts w:ascii="Times New Roman" w:hAnsi="Times New Roman"/>
                <w:sz w:val="20"/>
                <w:szCs w:val="20"/>
              </w:rPr>
            </w:pPr>
            <w:r w:rsidRPr="00B42218">
              <w:rPr>
                <w:rFonts w:ascii="Times New Roman" w:hAnsi="Times New Roman"/>
                <w:sz w:val="20"/>
                <w:szCs w:val="20"/>
              </w:rPr>
              <w:t>Standard qualitative anchors for independence of energy reliance.</w:t>
            </w:r>
          </w:p>
        </w:tc>
        <w:tc>
          <w:tcPr>
            <w:tcW w:w="1260" w:type="dxa"/>
            <w:vAlign w:val="center"/>
          </w:tcPr>
          <w:p w14:paraId="68AF26AB"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0.95</w:t>
            </w:r>
          </w:p>
        </w:tc>
        <w:tc>
          <w:tcPr>
            <w:tcW w:w="1440" w:type="dxa"/>
            <w:vAlign w:val="center"/>
          </w:tcPr>
          <w:p w14:paraId="226B5C0B"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0.5</w:t>
            </w:r>
          </w:p>
        </w:tc>
        <w:tc>
          <w:tcPr>
            <w:tcW w:w="1170" w:type="dxa"/>
            <w:vAlign w:val="center"/>
          </w:tcPr>
          <w:p w14:paraId="0BB6D762"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0.05</w:t>
            </w:r>
          </w:p>
        </w:tc>
      </w:tr>
      <w:tr w:rsidR="0033489D" w:rsidRPr="00B42218" w14:paraId="4734721D" w14:textId="77777777" w:rsidTr="002B7344">
        <w:trPr>
          <w:trHeight w:val="819"/>
        </w:trPr>
        <w:tc>
          <w:tcPr>
            <w:tcW w:w="1080" w:type="dxa"/>
            <w:tcBorders>
              <w:bottom w:val="single" w:sz="4" w:space="0" w:color="auto"/>
            </w:tcBorders>
            <w:vAlign w:val="center"/>
          </w:tcPr>
          <w:p w14:paraId="1E23C9C0" w14:textId="77777777" w:rsidR="0033489D" w:rsidRPr="00B42218" w:rsidRDefault="0033489D" w:rsidP="00B42218">
            <w:pPr>
              <w:spacing w:line="240" w:lineRule="auto"/>
              <w:jc w:val="center"/>
              <w:rPr>
                <w:rFonts w:ascii="Times New Roman" w:hAnsi="Times New Roman"/>
                <w:b/>
                <w:bCs/>
                <w:sz w:val="20"/>
                <w:szCs w:val="20"/>
              </w:rPr>
            </w:pPr>
          </w:p>
        </w:tc>
        <w:tc>
          <w:tcPr>
            <w:tcW w:w="1800" w:type="dxa"/>
            <w:tcBorders>
              <w:bottom w:val="single" w:sz="4" w:space="0" w:color="auto"/>
            </w:tcBorders>
            <w:vAlign w:val="center"/>
          </w:tcPr>
          <w:p w14:paraId="5DFF7F6D"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 xml:space="preserve">No Trust in </w:t>
            </w:r>
            <w:proofErr w:type="gramStart"/>
            <w:r w:rsidRPr="00B42218">
              <w:rPr>
                <w:rFonts w:ascii="Times New Roman" w:hAnsi="Times New Roman"/>
                <w:sz w:val="20"/>
                <w:szCs w:val="20"/>
              </w:rPr>
              <w:t>Social Media</w:t>
            </w:r>
            <w:proofErr w:type="gramEnd"/>
            <w:r w:rsidRPr="00B42218">
              <w:rPr>
                <w:rFonts w:ascii="Times New Roman" w:hAnsi="Times New Roman"/>
                <w:sz w:val="20"/>
                <w:szCs w:val="20"/>
              </w:rPr>
              <w:t xml:space="preserve"> (RTRUST)</w:t>
            </w:r>
          </w:p>
        </w:tc>
        <w:tc>
          <w:tcPr>
            <w:tcW w:w="2610" w:type="dxa"/>
            <w:tcBorders>
              <w:bottom w:val="single" w:sz="4" w:space="0" w:color="auto"/>
            </w:tcBorders>
            <w:vAlign w:val="center"/>
          </w:tcPr>
          <w:p w14:paraId="2DC8522D"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Anchors based on 1:2 and 1:1.5 ratios of trust and mistrust in social media.</w:t>
            </w:r>
          </w:p>
        </w:tc>
        <w:tc>
          <w:tcPr>
            <w:tcW w:w="1260" w:type="dxa"/>
            <w:tcBorders>
              <w:bottom w:val="single" w:sz="4" w:space="0" w:color="auto"/>
            </w:tcBorders>
            <w:vAlign w:val="center"/>
          </w:tcPr>
          <w:p w14:paraId="790554C5"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lang w:val="bg-BG"/>
              </w:rPr>
              <w:t>0</w:t>
            </w:r>
          </w:p>
        </w:tc>
        <w:tc>
          <w:tcPr>
            <w:tcW w:w="1440" w:type="dxa"/>
            <w:tcBorders>
              <w:bottom w:val="single" w:sz="4" w:space="0" w:color="auto"/>
            </w:tcBorders>
            <w:vAlign w:val="center"/>
          </w:tcPr>
          <w:p w14:paraId="5C921442"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-30</w:t>
            </w:r>
          </w:p>
        </w:tc>
        <w:tc>
          <w:tcPr>
            <w:tcW w:w="1170" w:type="dxa"/>
            <w:tcBorders>
              <w:bottom w:val="single" w:sz="4" w:space="0" w:color="auto"/>
            </w:tcBorders>
            <w:vAlign w:val="center"/>
          </w:tcPr>
          <w:p w14:paraId="6B200A35" w14:textId="77777777" w:rsidR="0033489D" w:rsidRPr="00B42218" w:rsidRDefault="0033489D" w:rsidP="00B42218">
            <w:pPr>
              <w:spacing w:line="240" w:lineRule="auto"/>
              <w:jc w:val="center"/>
              <w:rPr>
                <w:rFonts w:ascii="Times New Roman" w:hAnsi="Times New Roman"/>
                <w:sz w:val="20"/>
                <w:szCs w:val="20"/>
              </w:rPr>
            </w:pPr>
            <w:r w:rsidRPr="00B42218">
              <w:rPr>
                <w:rFonts w:ascii="Times New Roman" w:hAnsi="Times New Roman"/>
                <w:sz w:val="20"/>
                <w:szCs w:val="20"/>
              </w:rPr>
              <w:t>-50</w:t>
            </w:r>
          </w:p>
        </w:tc>
      </w:tr>
    </w:tbl>
    <w:p w14:paraId="420A9AE0" w14:textId="77777777" w:rsidR="0033489D" w:rsidRPr="00B42218" w:rsidRDefault="0033489D" w:rsidP="00B42218">
      <w:pPr>
        <w:spacing w:line="240" w:lineRule="auto"/>
        <w:rPr>
          <w:rFonts w:ascii="Times New Roman" w:hAnsi="Times New Roman"/>
          <w:sz w:val="20"/>
          <w:szCs w:val="20"/>
        </w:rPr>
      </w:pPr>
    </w:p>
    <w:p w14:paraId="49683221" w14:textId="783D38B8" w:rsidR="009E7ED8" w:rsidRDefault="009E7ED8" w:rsidP="009E7ED8"/>
    <w:p w14:paraId="55E1DECE" w14:textId="68E3891B" w:rsidR="008338B7" w:rsidRPr="009E7ED8" w:rsidRDefault="008338B7" w:rsidP="008338B7"/>
    <w:sectPr w:rsidR="008338B7" w:rsidRPr="009E7ED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D5285" w14:textId="77777777" w:rsidR="00A605F4" w:rsidRDefault="00A605F4" w:rsidP="000759A0">
      <w:pPr>
        <w:spacing w:after="0" w:line="240" w:lineRule="auto"/>
      </w:pPr>
      <w:r>
        <w:separator/>
      </w:r>
    </w:p>
  </w:endnote>
  <w:endnote w:type="continuationSeparator" w:id="0">
    <w:p w14:paraId="60DBE19D" w14:textId="77777777" w:rsidR="00A605F4" w:rsidRDefault="00A605F4" w:rsidP="00075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805247"/>
      <w:docPartObj>
        <w:docPartGallery w:val="Page Numbers (Bottom of Page)"/>
        <w:docPartUnique/>
      </w:docPartObj>
    </w:sdtPr>
    <w:sdtEndPr>
      <w:rPr>
        <w:noProof/>
      </w:rPr>
    </w:sdtEndPr>
    <w:sdtContent>
      <w:p w14:paraId="75C59630" w14:textId="337C6E7F" w:rsidR="00B42218" w:rsidRDefault="00B42218">
        <w:pPr>
          <w:pStyle w:val="Footer"/>
          <w:jc w:val="center"/>
        </w:pPr>
        <w:r w:rsidRPr="00B42218">
          <w:rPr>
            <w:rFonts w:ascii="Times New Roman" w:hAnsi="Times New Roman"/>
          </w:rPr>
          <w:fldChar w:fldCharType="begin"/>
        </w:r>
        <w:r w:rsidRPr="00B42218">
          <w:rPr>
            <w:rFonts w:ascii="Times New Roman" w:hAnsi="Times New Roman"/>
          </w:rPr>
          <w:instrText xml:space="preserve"> PAGE   \* MERGEFORMAT </w:instrText>
        </w:r>
        <w:r w:rsidRPr="00B42218">
          <w:rPr>
            <w:rFonts w:ascii="Times New Roman" w:hAnsi="Times New Roman"/>
          </w:rPr>
          <w:fldChar w:fldCharType="separate"/>
        </w:r>
        <w:r w:rsidRPr="00B42218">
          <w:rPr>
            <w:rFonts w:ascii="Times New Roman" w:hAnsi="Times New Roman"/>
            <w:noProof/>
          </w:rPr>
          <w:t>2</w:t>
        </w:r>
        <w:r w:rsidRPr="00B42218">
          <w:rPr>
            <w:rFonts w:ascii="Times New Roman" w:hAnsi="Times New Roman"/>
            <w:noProof/>
          </w:rPr>
          <w:fldChar w:fldCharType="end"/>
        </w:r>
      </w:p>
    </w:sdtContent>
  </w:sdt>
  <w:p w14:paraId="61B632E7" w14:textId="77777777" w:rsidR="00B42218" w:rsidRDefault="00B422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DD029" w14:textId="77777777" w:rsidR="00A605F4" w:rsidRDefault="00A605F4" w:rsidP="000759A0">
      <w:pPr>
        <w:spacing w:after="0" w:line="240" w:lineRule="auto"/>
      </w:pPr>
      <w:r>
        <w:separator/>
      </w:r>
    </w:p>
  </w:footnote>
  <w:footnote w:type="continuationSeparator" w:id="0">
    <w:p w14:paraId="06F3B2F4" w14:textId="77777777" w:rsidR="00A605F4" w:rsidRDefault="00A605F4" w:rsidP="000759A0">
      <w:pPr>
        <w:spacing w:after="0" w:line="240" w:lineRule="auto"/>
      </w:pPr>
      <w:r>
        <w:continuationSeparator/>
      </w:r>
    </w:p>
  </w:footnote>
  <w:footnote w:id="1">
    <w:p w14:paraId="1BDE0C34" w14:textId="77777777" w:rsidR="00320800" w:rsidRPr="00AC4E8F" w:rsidRDefault="00320800" w:rsidP="00320800">
      <w:pPr>
        <w:pStyle w:val="FootnoteText"/>
        <w:rPr>
          <w:rFonts w:asciiTheme="majorBidi" w:hAnsiTheme="majorBidi" w:cstheme="majorBidi"/>
        </w:rPr>
      </w:pPr>
      <w:r w:rsidRPr="00AC4E8F">
        <w:rPr>
          <w:rStyle w:val="FootnoteReference"/>
          <w:rFonts w:asciiTheme="majorBidi" w:hAnsiTheme="majorBidi"/>
        </w:rPr>
        <w:footnoteRef/>
      </w:r>
      <w:r w:rsidRPr="00AC4E8F">
        <w:rPr>
          <w:rFonts w:asciiTheme="majorBidi" w:hAnsiTheme="majorBidi" w:cstheme="majorBidi"/>
        </w:rPr>
        <w:t xml:space="preserve"> The importance of calibration has been discussed by Carsten Schneider and Claudius Wageman (2010: 403).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F2"/>
    <w:rsid w:val="000079C8"/>
    <w:rsid w:val="00017487"/>
    <w:rsid w:val="000506CE"/>
    <w:rsid w:val="000759A0"/>
    <w:rsid w:val="001C363F"/>
    <w:rsid w:val="00207B46"/>
    <w:rsid w:val="00226A3D"/>
    <w:rsid w:val="002A15FF"/>
    <w:rsid w:val="00320800"/>
    <w:rsid w:val="0033489D"/>
    <w:rsid w:val="00363CD9"/>
    <w:rsid w:val="003921ED"/>
    <w:rsid w:val="003C7899"/>
    <w:rsid w:val="004E34AA"/>
    <w:rsid w:val="004E597D"/>
    <w:rsid w:val="004F749C"/>
    <w:rsid w:val="0065102C"/>
    <w:rsid w:val="007104B7"/>
    <w:rsid w:val="007316C0"/>
    <w:rsid w:val="008338B7"/>
    <w:rsid w:val="008C6CF2"/>
    <w:rsid w:val="008F178B"/>
    <w:rsid w:val="009C61B1"/>
    <w:rsid w:val="009E7ED8"/>
    <w:rsid w:val="00A605F4"/>
    <w:rsid w:val="00B42218"/>
    <w:rsid w:val="00B65898"/>
    <w:rsid w:val="00C83027"/>
    <w:rsid w:val="00D619C1"/>
    <w:rsid w:val="00E34E53"/>
    <w:rsid w:val="00EB1EA8"/>
    <w:rsid w:val="00F91AF4"/>
    <w:rsid w:val="00FE4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DEC7E"/>
  <w15:chartTrackingRefBased/>
  <w15:docId w15:val="{F745AA14-3299-45E1-AF72-1A6641EC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9A0"/>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8C6CF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C6CF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C6CF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C6CF2"/>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8C6CF2"/>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8C6CF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8C6CF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8C6CF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8C6CF2"/>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6C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C6C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C6C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C6C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C6C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C6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6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6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6CF2"/>
    <w:rPr>
      <w:rFonts w:eastAsiaTheme="majorEastAsia" w:cstheme="majorBidi"/>
      <w:color w:val="272727" w:themeColor="text1" w:themeTint="D8"/>
    </w:rPr>
  </w:style>
  <w:style w:type="paragraph" w:styleId="Title">
    <w:name w:val="Title"/>
    <w:basedOn w:val="Normal"/>
    <w:next w:val="Normal"/>
    <w:link w:val="TitleChar"/>
    <w:uiPriority w:val="10"/>
    <w:qFormat/>
    <w:rsid w:val="008C6CF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C6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6CF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C6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6CF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8C6CF2"/>
    <w:rPr>
      <w:i/>
      <w:iCs/>
      <w:color w:val="404040" w:themeColor="text1" w:themeTint="BF"/>
    </w:rPr>
  </w:style>
  <w:style w:type="paragraph" w:styleId="ListParagraph">
    <w:name w:val="List Paragraph"/>
    <w:basedOn w:val="Normal"/>
    <w:uiPriority w:val="34"/>
    <w:qFormat/>
    <w:rsid w:val="008C6CF2"/>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8C6CF2"/>
    <w:rPr>
      <w:i/>
      <w:iCs/>
      <w:color w:val="2F5496" w:themeColor="accent1" w:themeShade="BF"/>
    </w:rPr>
  </w:style>
  <w:style w:type="paragraph" w:styleId="IntenseQuote">
    <w:name w:val="Intense Quote"/>
    <w:basedOn w:val="Normal"/>
    <w:next w:val="Normal"/>
    <w:link w:val="IntenseQuoteChar"/>
    <w:uiPriority w:val="30"/>
    <w:qFormat/>
    <w:rsid w:val="008C6CF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8C6CF2"/>
    <w:rPr>
      <w:i/>
      <w:iCs/>
      <w:color w:val="2F5496" w:themeColor="accent1" w:themeShade="BF"/>
    </w:rPr>
  </w:style>
  <w:style w:type="character" w:styleId="IntenseReference">
    <w:name w:val="Intense Reference"/>
    <w:basedOn w:val="DefaultParagraphFont"/>
    <w:uiPriority w:val="32"/>
    <w:qFormat/>
    <w:rsid w:val="008C6CF2"/>
    <w:rPr>
      <w:b/>
      <w:bCs/>
      <w:smallCaps/>
      <w:color w:val="2F5496" w:themeColor="accent1" w:themeShade="BF"/>
      <w:spacing w:val="5"/>
    </w:rPr>
  </w:style>
  <w:style w:type="paragraph" w:styleId="FootnoteText">
    <w:name w:val="footnote text"/>
    <w:basedOn w:val="Normal"/>
    <w:link w:val="FootnoteTextChar"/>
    <w:uiPriority w:val="99"/>
    <w:unhideWhenUsed/>
    <w:rsid w:val="000759A0"/>
    <w:pPr>
      <w:spacing w:after="0" w:line="240" w:lineRule="auto"/>
    </w:pPr>
    <w:rPr>
      <w:sz w:val="20"/>
      <w:szCs w:val="20"/>
    </w:rPr>
  </w:style>
  <w:style w:type="character" w:customStyle="1" w:styleId="FootnoteTextChar">
    <w:name w:val="Footnote Text Char"/>
    <w:basedOn w:val="DefaultParagraphFont"/>
    <w:link w:val="FootnoteText"/>
    <w:uiPriority w:val="99"/>
    <w:rsid w:val="000759A0"/>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0759A0"/>
    <w:rPr>
      <w:vertAlign w:val="superscript"/>
    </w:rPr>
  </w:style>
  <w:style w:type="table" w:customStyle="1" w:styleId="TableGrid2">
    <w:name w:val="Table Grid2"/>
    <w:basedOn w:val="TableNormal"/>
    <w:next w:val="TableGrid"/>
    <w:uiPriority w:val="39"/>
    <w:rsid w:val="000759A0"/>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5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7ED8"/>
    <w:rPr>
      <w:color w:val="0563C1" w:themeColor="hyperlink"/>
      <w:u w:val="single"/>
    </w:rPr>
  </w:style>
  <w:style w:type="character" w:styleId="UnresolvedMention">
    <w:name w:val="Unresolved Mention"/>
    <w:basedOn w:val="DefaultParagraphFont"/>
    <w:uiPriority w:val="99"/>
    <w:semiHidden/>
    <w:unhideWhenUsed/>
    <w:rsid w:val="009E7ED8"/>
    <w:rPr>
      <w:color w:val="605E5C"/>
      <w:shd w:val="clear" w:color="auto" w:fill="E1DFDD"/>
    </w:rPr>
  </w:style>
  <w:style w:type="paragraph" w:styleId="Header">
    <w:name w:val="header"/>
    <w:basedOn w:val="Normal"/>
    <w:link w:val="HeaderChar"/>
    <w:uiPriority w:val="99"/>
    <w:unhideWhenUsed/>
    <w:rsid w:val="00B422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21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B422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218"/>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3</Pages>
  <Words>1036</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Ivanov</dc:creator>
  <cp:keywords/>
  <dc:description/>
  <cp:lastModifiedBy>Ivan Ivanov</cp:lastModifiedBy>
  <cp:revision>2</cp:revision>
  <dcterms:created xsi:type="dcterms:W3CDTF">2025-12-26T18:38:00Z</dcterms:created>
  <dcterms:modified xsi:type="dcterms:W3CDTF">2025-12-27T05:28:00Z</dcterms:modified>
</cp:coreProperties>
</file>